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9178606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7E37F5">
        <w:rPr>
          <w:b/>
          <w:sz w:val="24"/>
          <w:szCs w:val="24"/>
        </w:rPr>
        <w:t>48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2D29DF9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24F23">
        <w:rPr>
          <w:b/>
          <w:sz w:val="24"/>
          <w:szCs w:val="24"/>
        </w:rPr>
        <w:t xml:space="preserve">08 августа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2C795A" w:rsidRDefault="00A92AA5" w:rsidP="0082672B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7778359B" w:rsidR="0082672B" w:rsidRPr="002C795A" w:rsidRDefault="0082672B" w:rsidP="002C795A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2C795A" w:rsidRPr="002C795A">
              <w:rPr>
                <w:sz w:val="24"/>
                <w:szCs w:val="24"/>
              </w:rPr>
              <w:t>4</w:t>
            </w:r>
            <w:r w:rsidRPr="002C795A">
              <w:rPr>
                <w:sz w:val="24"/>
                <w:szCs w:val="24"/>
              </w:rPr>
              <w:t xml:space="preserve"> член</w:t>
            </w:r>
            <w:r w:rsidR="002C795A" w:rsidRPr="002C795A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92AA5" w:rsidRPr="002C795A"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 w:rsidR="00A92AA5" w:rsidRPr="002C795A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50611BB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9145EA">
        <w:rPr>
          <w:sz w:val="24"/>
          <w:szCs w:val="24"/>
        </w:rPr>
        <w:t xml:space="preserve">МКП «ПрофКомСервис» </w:t>
      </w:r>
      <w:r w:rsidR="00901D95" w:rsidRPr="00901D95">
        <w:rPr>
          <w:sz w:val="24"/>
          <w:szCs w:val="24"/>
        </w:rPr>
        <w:t xml:space="preserve">на территории </w:t>
      </w:r>
      <w:r w:rsidR="009145EA">
        <w:rPr>
          <w:sz w:val="24"/>
          <w:szCs w:val="24"/>
        </w:rPr>
        <w:t>г. Спасска Спасского района</w:t>
      </w:r>
      <w:r w:rsidR="00901D95" w:rsidRPr="00901D95">
        <w:rPr>
          <w:sz w:val="24"/>
          <w:szCs w:val="24"/>
        </w:rPr>
        <w:t xml:space="preserve"> Пензенской области на 2025</w:t>
      </w:r>
      <w:r w:rsidR="009145EA">
        <w:rPr>
          <w:sz w:val="24"/>
          <w:szCs w:val="24"/>
        </w:rPr>
        <w:t>-2029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6A6FE86D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9145EA">
        <w:rPr>
          <w:sz w:val="24"/>
          <w:szCs w:val="24"/>
        </w:rPr>
        <w:t xml:space="preserve">МКП «ПрофКомСервис»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901D95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EFCE826" w14:textId="0744DF9B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01201C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1201C">
        <w:rPr>
          <w:sz w:val="24"/>
          <w:szCs w:val="24"/>
        </w:rPr>
        <w:t xml:space="preserve">е </w:t>
      </w:r>
      <w:r w:rsidR="007A5902">
        <w:rPr>
          <w:sz w:val="24"/>
          <w:szCs w:val="24"/>
        </w:rPr>
        <w:t>МКП «ПрофКомСервис»</w:t>
      </w:r>
      <w:r w:rsidRPr="00E17657">
        <w:rPr>
          <w:sz w:val="24"/>
          <w:szCs w:val="24"/>
        </w:rPr>
        <w:t>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45095E35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9145EA">
        <w:rPr>
          <w:sz w:val="24"/>
          <w:szCs w:val="24"/>
        </w:rPr>
        <w:t xml:space="preserve">МКП «ПрофКомСервис» </w:t>
      </w:r>
      <w:r w:rsidR="00CF7BC2" w:rsidRPr="00CF7BC2">
        <w:rPr>
          <w:sz w:val="24"/>
          <w:szCs w:val="24"/>
        </w:rPr>
        <w:t xml:space="preserve">на территории </w:t>
      </w:r>
      <w:r w:rsidR="009145EA">
        <w:rPr>
          <w:sz w:val="24"/>
          <w:szCs w:val="24"/>
        </w:rPr>
        <w:t>г. Спасска Спасского района</w:t>
      </w:r>
      <w:r w:rsidR="00CF7BC2" w:rsidRPr="00CF7BC2">
        <w:rPr>
          <w:sz w:val="24"/>
          <w:szCs w:val="24"/>
        </w:rPr>
        <w:t xml:space="preserve"> Пензенской области</w:t>
      </w:r>
      <w:r w:rsidR="00456419" w:rsidRPr="00CF7BC2">
        <w:rPr>
          <w:sz w:val="24"/>
          <w:szCs w:val="24"/>
        </w:rPr>
        <w:t xml:space="preserve"> на 2025</w:t>
      </w:r>
      <w:r w:rsidR="007A5902">
        <w:rPr>
          <w:sz w:val="24"/>
          <w:szCs w:val="24"/>
        </w:rPr>
        <w:t>-2029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1B21CF7E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 (далее – НВВ) МКП «ПрофКомСервис»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13FE4D3D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>
        <w:rPr>
          <w:szCs w:val="24"/>
        </w:rPr>
        <w:t>МКП «ПрофКомСервис»</w:t>
      </w:r>
      <w:r w:rsidRPr="000928A8">
        <w:rPr>
          <w:rFonts w:eastAsia="Calibri"/>
          <w:szCs w:val="24"/>
        </w:rPr>
        <w:t xml:space="preserve"> </w:t>
      </w:r>
      <w:r w:rsidRPr="00660CC0">
        <w:rPr>
          <w:szCs w:val="24"/>
        </w:rPr>
        <w:t>период регулирования 202</w:t>
      </w:r>
      <w:r>
        <w:rPr>
          <w:szCs w:val="24"/>
        </w:rPr>
        <w:t>5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2025-</w:t>
      </w:r>
      <w:r w:rsidRPr="00660CC0">
        <w:rPr>
          <w:szCs w:val="24"/>
        </w:rPr>
        <w:t>202</w:t>
      </w:r>
      <w:r>
        <w:rPr>
          <w:szCs w:val="24"/>
        </w:rPr>
        <w:t>9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768"/>
        <w:gridCol w:w="1021"/>
        <w:gridCol w:w="1051"/>
        <w:gridCol w:w="1081"/>
        <w:gridCol w:w="1023"/>
        <w:gridCol w:w="1009"/>
      </w:tblGrid>
      <w:tr w:rsidR="00C656D2" w:rsidRPr="0001201C" w14:paraId="1219AAC3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195DDB9D" w14:textId="77777777" w:rsidR="007A5902" w:rsidRPr="0001201C" w:rsidRDefault="007A5902" w:rsidP="0012659D">
            <w:pPr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" w:type="pct"/>
            <w:vAlign w:val="center"/>
          </w:tcPr>
          <w:p w14:paraId="40BEE2FD" w14:textId="77777777" w:rsidR="007A5902" w:rsidRPr="0001201C" w:rsidRDefault="007A5902" w:rsidP="0012659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Ед. изм.</w:t>
            </w:r>
          </w:p>
        </w:tc>
        <w:tc>
          <w:tcPr>
            <w:tcW w:w="507" w:type="pct"/>
            <w:vAlign w:val="center"/>
          </w:tcPr>
          <w:p w14:paraId="7616CC4A" w14:textId="0D57A287" w:rsidR="007A5902" w:rsidRPr="0001201C" w:rsidRDefault="007A5902" w:rsidP="00CE4D5A">
            <w:pPr>
              <w:ind w:left="-39" w:right="-67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</w:t>
            </w:r>
            <w:r w:rsidR="00CE4D5A" w:rsidRPr="0001201C">
              <w:rPr>
                <w:sz w:val="16"/>
                <w:szCs w:val="16"/>
              </w:rPr>
              <w:t>8</w:t>
            </w:r>
            <w:r w:rsidRPr="0001201C">
              <w:rPr>
                <w:sz w:val="16"/>
                <w:szCs w:val="16"/>
              </w:rPr>
              <w:t>.0</w:t>
            </w:r>
            <w:r w:rsidR="00CE4D5A" w:rsidRPr="0001201C">
              <w:rPr>
                <w:sz w:val="16"/>
                <w:szCs w:val="16"/>
              </w:rPr>
              <w:t>8</w:t>
            </w:r>
            <w:r w:rsidRPr="0001201C">
              <w:rPr>
                <w:sz w:val="16"/>
                <w:szCs w:val="16"/>
              </w:rPr>
              <w:t>.2025-31.12.2025</w:t>
            </w:r>
          </w:p>
        </w:tc>
        <w:tc>
          <w:tcPr>
            <w:tcW w:w="522" w:type="pct"/>
          </w:tcPr>
          <w:p w14:paraId="63A81E8E" w14:textId="77777777" w:rsidR="007A5902" w:rsidRPr="0001201C" w:rsidRDefault="007A5902" w:rsidP="0012659D">
            <w:pPr>
              <w:ind w:left="-39" w:right="-67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01.01.2026-31.12.2026</w:t>
            </w:r>
          </w:p>
        </w:tc>
        <w:tc>
          <w:tcPr>
            <w:tcW w:w="537" w:type="pct"/>
          </w:tcPr>
          <w:p w14:paraId="43A9082D" w14:textId="77777777" w:rsidR="007A5902" w:rsidRPr="0001201C" w:rsidRDefault="007A5902" w:rsidP="0012659D">
            <w:pPr>
              <w:ind w:left="-39" w:right="-67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01.01.2027-31.12.2027</w:t>
            </w:r>
          </w:p>
        </w:tc>
        <w:tc>
          <w:tcPr>
            <w:tcW w:w="508" w:type="pct"/>
          </w:tcPr>
          <w:p w14:paraId="46AB70FA" w14:textId="77777777" w:rsidR="007A5902" w:rsidRPr="0001201C" w:rsidRDefault="007A5902" w:rsidP="0012659D">
            <w:pPr>
              <w:ind w:left="-39" w:right="-67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01.01.2028-31.12.2028</w:t>
            </w:r>
          </w:p>
        </w:tc>
        <w:tc>
          <w:tcPr>
            <w:tcW w:w="501" w:type="pct"/>
          </w:tcPr>
          <w:p w14:paraId="3A19FD5D" w14:textId="77777777" w:rsidR="007A5902" w:rsidRPr="0001201C" w:rsidRDefault="007A5902" w:rsidP="0012659D">
            <w:pPr>
              <w:ind w:left="-39" w:right="-67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01.01.2029-31.12.2029</w:t>
            </w:r>
          </w:p>
        </w:tc>
      </w:tr>
      <w:tr w:rsidR="00C656D2" w:rsidRPr="0001201C" w14:paraId="7A70DA46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7DB8A35F" w14:textId="77777777" w:rsidR="0001201C" w:rsidRPr="0001201C" w:rsidRDefault="0001201C" w:rsidP="0001201C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82" w:type="pct"/>
            <w:vAlign w:val="bottom"/>
          </w:tcPr>
          <w:p w14:paraId="2F607DFB" w14:textId="77777777" w:rsidR="0001201C" w:rsidRPr="0001201C" w:rsidRDefault="0001201C" w:rsidP="0001201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23CDD370" w14:textId="2332F6C0" w:rsidR="0001201C" w:rsidRPr="0001201C" w:rsidRDefault="0001201C" w:rsidP="0001201C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12 531,31</w:t>
            </w:r>
          </w:p>
        </w:tc>
        <w:tc>
          <w:tcPr>
            <w:tcW w:w="522" w:type="pct"/>
          </w:tcPr>
          <w:p w14:paraId="2A352D94" w14:textId="6E251915" w:rsidR="0001201C" w:rsidRPr="0001201C" w:rsidRDefault="0001201C" w:rsidP="0001201C">
            <w:pPr>
              <w:jc w:val="center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13 293,52</w:t>
            </w:r>
          </w:p>
        </w:tc>
        <w:tc>
          <w:tcPr>
            <w:tcW w:w="537" w:type="pct"/>
          </w:tcPr>
          <w:p w14:paraId="552261F4" w14:textId="5BD5C6D9" w:rsidR="0001201C" w:rsidRPr="0001201C" w:rsidRDefault="0001201C" w:rsidP="0001201C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13 880,65</w:t>
            </w:r>
          </w:p>
        </w:tc>
        <w:tc>
          <w:tcPr>
            <w:tcW w:w="508" w:type="pct"/>
          </w:tcPr>
          <w:p w14:paraId="2314A9A8" w14:textId="604E40A0" w:rsidR="0001201C" w:rsidRPr="0001201C" w:rsidRDefault="0001201C" w:rsidP="0001201C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14 386,17</w:t>
            </w:r>
          </w:p>
        </w:tc>
        <w:tc>
          <w:tcPr>
            <w:tcW w:w="501" w:type="pct"/>
          </w:tcPr>
          <w:p w14:paraId="6ABD479A" w14:textId="15FE6995" w:rsidR="0001201C" w:rsidRPr="0001201C" w:rsidRDefault="0001201C" w:rsidP="0001201C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14 867,09</w:t>
            </w:r>
          </w:p>
        </w:tc>
      </w:tr>
      <w:tr w:rsidR="00C656D2" w:rsidRPr="0001201C" w14:paraId="2503929F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5672AEE2" w14:textId="77777777" w:rsidR="0001201C" w:rsidRPr="0001201C" w:rsidRDefault="0001201C" w:rsidP="0001201C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82" w:type="pct"/>
            <w:vAlign w:val="bottom"/>
          </w:tcPr>
          <w:p w14:paraId="08ABECE5" w14:textId="77777777" w:rsidR="0001201C" w:rsidRPr="0001201C" w:rsidRDefault="0001201C" w:rsidP="0001201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46ABCA08" w14:textId="2AEFBA3E" w:rsidR="0001201C" w:rsidRPr="0001201C" w:rsidRDefault="0001201C" w:rsidP="0001201C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8888,82</w:t>
            </w:r>
          </w:p>
        </w:tc>
        <w:tc>
          <w:tcPr>
            <w:tcW w:w="522" w:type="pct"/>
          </w:tcPr>
          <w:p w14:paraId="477281A1" w14:textId="32CF8D8E" w:rsidR="0001201C" w:rsidRPr="0001201C" w:rsidRDefault="0001201C" w:rsidP="0001201C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9275,13</w:t>
            </w:r>
          </w:p>
        </w:tc>
        <w:tc>
          <w:tcPr>
            <w:tcW w:w="537" w:type="pct"/>
          </w:tcPr>
          <w:p w14:paraId="0EE3C679" w14:textId="58BA4D50" w:rsidR="0001201C" w:rsidRPr="0001201C" w:rsidRDefault="0001201C" w:rsidP="0001201C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9549,67</w:t>
            </w:r>
          </w:p>
        </w:tc>
        <w:tc>
          <w:tcPr>
            <w:tcW w:w="508" w:type="pct"/>
          </w:tcPr>
          <w:p w14:paraId="5341C049" w14:textId="4EC4984D" w:rsidR="0001201C" w:rsidRPr="0001201C" w:rsidRDefault="0001201C" w:rsidP="0001201C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9832,34</w:t>
            </w:r>
          </w:p>
        </w:tc>
        <w:tc>
          <w:tcPr>
            <w:tcW w:w="501" w:type="pct"/>
          </w:tcPr>
          <w:p w14:paraId="1C7A906E" w14:textId="75841549" w:rsidR="0001201C" w:rsidRPr="0001201C" w:rsidRDefault="0001201C" w:rsidP="0001201C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10123,38</w:t>
            </w:r>
          </w:p>
        </w:tc>
      </w:tr>
      <w:tr w:rsidR="00C656D2" w:rsidRPr="0001201C" w14:paraId="639A361B" w14:textId="77777777" w:rsidTr="00C656D2">
        <w:trPr>
          <w:trHeight w:val="60"/>
          <w:tblHeader/>
        </w:trPr>
        <w:tc>
          <w:tcPr>
            <w:tcW w:w="2043" w:type="pct"/>
            <w:vAlign w:val="bottom"/>
          </w:tcPr>
          <w:p w14:paraId="151C9C41" w14:textId="77777777" w:rsidR="007A5902" w:rsidRPr="0001201C" w:rsidRDefault="007A5902" w:rsidP="007A590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 xml:space="preserve"> Производственные расходы:</w:t>
            </w:r>
          </w:p>
        </w:tc>
        <w:tc>
          <w:tcPr>
            <w:tcW w:w="382" w:type="pct"/>
          </w:tcPr>
          <w:p w14:paraId="05A32FD3" w14:textId="77777777" w:rsidR="007A5902" w:rsidRPr="0001201C" w:rsidRDefault="007A5902" w:rsidP="0012659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606E6CB2" w14:textId="167165E0" w:rsidR="007A5902" w:rsidRPr="0001201C" w:rsidRDefault="00546231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8 835,82</w:t>
            </w:r>
          </w:p>
        </w:tc>
        <w:tc>
          <w:tcPr>
            <w:tcW w:w="522" w:type="pct"/>
            <w:vAlign w:val="bottom"/>
          </w:tcPr>
          <w:p w14:paraId="074CC79A" w14:textId="77777777" w:rsidR="007A5902" w:rsidRPr="0001201C" w:rsidRDefault="007A5902" w:rsidP="0012659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279217BE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2AA5A1BA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2F3A1DE9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C656D2" w:rsidRPr="0001201C" w14:paraId="77ECC894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2E1A8812" w14:textId="01820350" w:rsidR="007A5902" w:rsidRPr="0001201C" w:rsidRDefault="007A5902" w:rsidP="0054623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1.1.1.1.</w:t>
            </w:r>
            <w:r w:rsidR="00546231">
              <w:t xml:space="preserve"> </w:t>
            </w:r>
            <w:r w:rsidR="00546231">
              <w:rPr>
                <w:sz w:val="16"/>
                <w:szCs w:val="16"/>
              </w:rPr>
              <w:t>Р</w:t>
            </w:r>
            <w:r w:rsidR="00546231" w:rsidRPr="00546231">
              <w:rPr>
                <w:sz w:val="16"/>
                <w:szCs w:val="16"/>
              </w:rPr>
              <w:t>асходы на приобретение сырья и материалов и их хранение</w:t>
            </w:r>
          </w:p>
        </w:tc>
        <w:tc>
          <w:tcPr>
            <w:tcW w:w="382" w:type="pct"/>
            <w:vAlign w:val="bottom"/>
          </w:tcPr>
          <w:p w14:paraId="4AE2E159" w14:textId="77777777" w:rsidR="007A5902" w:rsidRPr="0001201C" w:rsidRDefault="007A5902" w:rsidP="0012659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7CEBDFC1" w14:textId="414872AE" w:rsidR="007A5902" w:rsidRPr="0001201C" w:rsidRDefault="00546231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335,51</w:t>
            </w:r>
          </w:p>
        </w:tc>
        <w:tc>
          <w:tcPr>
            <w:tcW w:w="522" w:type="pct"/>
            <w:vAlign w:val="bottom"/>
          </w:tcPr>
          <w:p w14:paraId="7FF3F9CD" w14:textId="77777777" w:rsidR="007A5902" w:rsidRPr="0001201C" w:rsidRDefault="007A5902" w:rsidP="0012659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4DC33611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54FE091C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30B05655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546231" w:rsidRPr="0001201C" w14:paraId="58B70137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499449FE" w14:textId="74A1D0D8" w:rsidR="00546231" w:rsidRPr="0001201C" w:rsidRDefault="00546231" w:rsidP="0054623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 xml:space="preserve">.Расходы </w:t>
            </w:r>
            <w:r w:rsidRPr="00546231">
              <w:rPr>
                <w:sz w:val="16"/>
                <w:szCs w:val="16"/>
              </w:rPr>
              <w:t>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382" w:type="pct"/>
            <w:vAlign w:val="bottom"/>
          </w:tcPr>
          <w:p w14:paraId="58E77674" w14:textId="0BF44AAF" w:rsidR="00546231" w:rsidRPr="0001201C" w:rsidRDefault="00546231" w:rsidP="005462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42B83089" w14:textId="6D05A7C2" w:rsidR="00546231" w:rsidRPr="00546231" w:rsidRDefault="00546231" w:rsidP="00546231">
            <w:pPr>
              <w:jc w:val="right"/>
              <w:rPr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348,29</w:t>
            </w:r>
          </w:p>
        </w:tc>
        <w:tc>
          <w:tcPr>
            <w:tcW w:w="522" w:type="pct"/>
            <w:vAlign w:val="bottom"/>
          </w:tcPr>
          <w:p w14:paraId="2F2ABCEE" w14:textId="700FB516" w:rsidR="00546231" w:rsidRPr="0001201C" w:rsidRDefault="00546231" w:rsidP="00546231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159EC30A" w14:textId="25A2F5BE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06AD228A" w14:textId="77BA5176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3B12BBAF" w14:textId="41D41B18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546231" w:rsidRPr="0001201C" w14:paraId="3A0D124F" w14:textId="77777777" w:rsidTr="00CE31D7">
        <w:trPr>
          <w:trHeight w:val="20"/>
          <w:tblHeader/>
        </w:trPr>
        <w:tc>
          <w:tcPr>
            <w:tcW w:w="2043" w:type="pct"/>
            <w:vAlign w:val="bottom"/>
          </w:tcPr>
          <w:p w14:paraId="5EB99BB3" w14:textId="7D13E389" w:rsidR="00546231" w:rsidRPr="0001201C" w:rsidRDefault="00546231" w:rsidP="0054623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82" w:type="pct"/>
            <w:vAlign w:val="bottom"/>
          </w:tcPr>
          <w:p w14:paraId="11971B7D" w14:textId="65B67897" w:rsidR="00546231" w:rsidRPr="0001201C" w:rsidRDefault="00546231" w:rsidP="005462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6D064EBE" w14:textId="335F7861" w:rsidR="00546231" w:rsidRPr="00546231" w:rsidRDefault="00546231" w:rsidP="00546231">
            <w:pPr>
              <w:jc w:val="right"/>
              <w:rPr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3 927,87</w:t>
            </w:r>
          </w:p>
        </w:tc>
        <w:tc>
          <w:tcPr>
            <w:tcW w:w="522" w:type="pct"/>
            <w:vAlign w:val="bottom"/>
          </w:tcPr>
          <w:p w14:paraId="2607C20A" w14:textId="0120520C" w:rsidR="00546231" w:rsidRPr="0001201C" w:rsidRDefault="00546231" w:rsidP="00546231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12ABCC95" w14:textId="4FF8402B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63D42686" w14:textId="01C2991A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5CD6DDEF" w14:textId="21783378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546231" w:rsidRPr="0001201C" w14:paraId="7EA660E4" w14:textId="77777777" w:rsidTr="00CE31D7">
        <w:trPr>
          <w:trHeight w:val="20"/>
          <w:tblHeader/>
        </w:trPr>
        <w:tc>
          <w:tcPr>
            <w:tcW w:w="2043" w:type="pct"/>
            <w:vAlign w:val="bottom"/>
          </w:tcPr>
          <w:p w14:paraId="51D7BD77" w14:textId="7C85DE27" w:rsidR="00546231" w:rsidRPr="0001201C" w:rsidRDefault="00546231" w:rsidP="0054623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>
              <w:rPr>
                <w:sz w:val="16"/>
                <w:szCs w:val="16"/>
              </w:rPr>
              <w:t>3</w:t>
            </w:r>
            <w:r w:rsidRPr="0001201C">
              <w:rPr>
                <w:sz w:val="16"/>
                <w:szCs w:val="16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82" w:type="pct"/>
            <w:vAlign w:val="bottom"/>
          </w:tcPr>
          <w:p w14:paraId="5C8C670E" w14:textId="77777777" w:rsidR="00546231" w:rsidRPr="0001201C" w:rsidRDefault="00546231" w:rsidP="005462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115A6259" w14:textId="5F337513" w:rsidR="00546231" w:rsidRPr="00546231" w:rsidRDefault="00546231" w:rsidP="00546231">
            <w:pPr>
              <w:jc w:val="right"/>
              <w:rPr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1 186,22</w:t>
            </w:r>
          </w:p>
        </w:tc>
        <w:tc>
          <w:tcPr>
            <w:tcW w:w="522" w:type="pct"/>
            <w:vAlign w:val="bottom"/>
          </w:tcPr>
          <w:p w14:paraId="537BB723" w14:textId="16868A16" w:rsidR="00546231" w:rsidRPr="0001201C" w:rsidRDefault="00546231" w:rsidP="00546231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4C2DAC81" w14:textId="4A5AFE1C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0F3FB532" w14:textId="085D1602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1A16FAF6" w14:textId="1127A24F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546231" w:rsidRPr="0001201C" w14:paraId="03C0B766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4FE00D81" w14:textId="77777777" w:rsidR="00546231" w:rsidRPr="0001201C" w:rsidRDefault="00546231" w:rsidP="00546231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1.1.1.4.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</w:t>
            </w:r>
          </w:p>
        </w:tc>
        <w:tc>
          <w:tcPr>
            <w:tcW w:w="382" w:type="pct"/>
            <w:vAlign w:val="bottom"/>
          </w:tcPr>
          <w:p w14:paraId="6172DF4F" w14:textId="77777777" w:rsidR="00546231" w:rsidRPr="0001201C" w:rsidRDefault="00546231" w:rsidP="005462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0EEDC48D" w14:textId="549084CF" w:rsidR="00546231" w:rsidRPr="0001201C" w:rsidRDefault="00546231" w:rsidP="00546231">
            <w:pPr>
              <w:jc w:val="right"/>
              <w:rPr>
                <w:color w:val="FF0000"/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2 924,48</w:t>
            </w:r>
          </w:p>
        </w:tc>
        <w:tc>
          <w:tcPr>
            <w:tcW w:w="522" w:type="pct"/>
            <w:vAlign w:val="bottom"/>
          </w:tcPr>
          <w:p w14:paraId="529A0972" w14:textId="2EE47306" w:rsidR="00546231" w:rsidRPr="0001201C" w:rsidRDefault="00546231" w:rsidP="00546231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7A694B67" w14:textId="3DA700F5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347EAB53" w14:textId="0C4B6D85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7A7F6132" w14:textId="7A99ED04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546231" w:rsidRPr="0001201C" w14:paraId="404F3E47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141AA8A2" w14:textId="4697937C" w:rsidR="00546231" w:rsidRPr="0001201C" w:rsidRDefault="00546231" w:rsidP="00546231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>
              <w:rPr>
                <w:sz w:val="16"/>
                <w:szCs w:val="16"/>
              </w:rPr>
              <w:t>5</w:t>
            </w:r>
            <w:r w:rsidRPr="0001201C">
              <w:rPr>
                <w:sz w:val="16"/>
                <w:szCs w:val="16"/>
              </w:rPr>
              <w:t>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r w:rsidRPr="00546231">
              <w:rPr>
                <w:sz w:val="16"/>
                <w:szCs w:val="16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382" w:type="pct"/>
            <w:vAlign w:val="bottom"/>
          </w:tcPr>
          <w:p w14:paraId="5DC4004E" w14:textId="39243938" w:rsidR="00546231" w:rsidRPr="0001201C" w:rsidRDefault="00546231" w:rsidP="005462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434C85AE" w14:textId="04A2FC42" w:rsidR="00546231" w:rsidRPr="00546231" w:rsidRDefault="00546231" w:rsidP="00546231">
            <w:pPr>
              <w:jc w:val="right"/>
              <w:rPr>
                <w:sz w:val="16"/>
                <w:szCs w:val="16"/>
              </w:rPr>
            </w:pPr>
            <w:r w:rsidRPr="00546231">
              <w:rPr>
                <w:sz w:val="16"/>
                <w:szCs w:val="16"/>
              </w:rPr>
              <w:t>113,45</w:t>
            </w:r>
          </w:p>
        </w:tc>
        <w:tc>
          <w:tcPr>
            <w:tcW w:w="522" w:type="pct"/>
            <w:vAlign w:val="bottom"/>
          </w:tcPr>
          <w:p w14:paraId="69B139C7" w14:textId="7E269C2C" w:rsidR="00546231" w:rsidRPr="0001201C" w:rsidRDefault="00546231" w:rsidP="00546231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4F0271C4" w14:textId="2A424F94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2BD34A51" w14:textId="4CF3A387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63D6BE4B" w14:textId="39D545D0" w:rsidR="00546231" w:rsidRPr="0001201C" w:rsidRDefault="00546231" w:rsidP="00546231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C656D2" w:rsidRPr="0001201C" w14:paraId="78E9B12D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13487DD4" w14:textId="77777777" w:rsidR="007A5902" w:rsidRPr="0001201C" w:rsidRDefault="007A5902" w:rsidP="0012659D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1201C">
              <w:rPr>
                <w:sz w:val="16"/>
                <w:szCs w:val="16"/>
              </w:rPr>
              <w:t>1.1.2.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82" w:type="pct"/>
            <w:vAlign w:val="bottom"/>
          </w:tcPr>
          <w:p w14:paraId="5F0FE337" w14:textId="77777777" w:rsidR="007A5902" w:rsidRPr="0001201C" w:rsidRDefault="007A5902" w:rsidP="0012659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7F8C8D78" w14:textId="58DB090C" w:rsidR="007A5902" w:rsidRPr="0001201C" w:rsidRDefault="00692C7C" w:rsidP="001265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692C7C">
              <w:rPr>
                <w:sz w:val="16"/>
                <w:szCs w:val="16"/>
              </w:rPr>
              <w:t>53,00</w:t>
            </w:r>
          </w:p>
        </w:tc>
        <w:tc>
          <w:tcPr>
            <w:tcW w:w="522" w:type="pct"/>
            <w:vAlign w:val="bottom"/>
          </w:tcPr>
          <w:p w14:paraId="4E1C224A" w14:textId="77777777" w:rsidR="007A5902" w:rsidRPr="0001201C" w:rsidRDefault="007A5902" w:rsidP="0012659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285C47BA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7738720D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4B7C4180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C656D2" w:rsidRPr="0001201C" w14:paraId="2A11FC33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383EF7D8" w14:textId="77777777" w:rsidR="007A5902" w:rsidRPr="0001201C" w:rsidRDefault="007A5902" w:rsidP="0012659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82" w:type="pct"/>
            <w:vAlign w:val="bottom"/>
          </w:tcPr>
          <w:p w14:paraId="62B6F3E8" w14:textId="77777777" w:rsidR="007A5902" w:rsidRPr="0001201C" w:rsidRDefault="007A5902" w:rsidP="0012659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1FB7EE57" w14:textId="76439F7D" w:rsidR="007A5902" w:rsidRPr="0001201C" w:rsidRDefault="00692C7C" w:rsidP="001265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692C7C">
              <w:rPr>
                <w:sz w:val="16"/>
                <w:szCs w:val="16"/>
              </w:rPr>
              <w:t>53,00</w:t>
            </w:r>
          </w:p>
        </w:tc>
        <w:tc>
          <w:tcPr>
            <w:tcW w:w="522" w:type="pct"/>
            <w:vAlign w:val="bottom"/>
          </w:tcPr>
          <w:p w14:paraId="6E3F3806" w14:textId="77777777" w:rsidR="007A5902" w:rsidRPr="0001201C" w:rsidRDefault="007A5902" w:rsidP="0012659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37" w:type="pct"/>
            <w:vAlign w:val="bottom"/>
          </w:tcPr>
          <w:p w14:paraId="0A5535C5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8" w:type="pct"/>
            <w:vAlign w:val="bottom"/>
          </w:tcPr>
          <w:p w14:paraId="01FC7626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bottom"/>
          </w:tcPr>
          <w:p w14:paraId="4D4D5064" w14:textId="77777777" w:rsidR="007A5902" w:rsidRPr="0001201C" w:rsidRDefault="007A5902" w:rsidP="0012659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C656D2" w:rsidRPr="0001201C" w14:paraId="4E54B7B4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38C88E89" w14:textId="77777777" w:rsidR="0001201C" w:rsidRPr="0001201C" w:rsidRDefault="0001201C" w:rsidP="000120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 Неподконтрольные расходы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82" w:type="pct"/>
            <w:vAlign w:val="bottom"/>
          </w:tcPr>
          <w:p w14:paraId="0110FFA1" w14:textId="77777777" w:rsidR="0001201C" w:rsidRPr="0001201C" w:rsidRDefault="0001201C" w:rsidP="0001201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042B7F83" w14:textId="0CE51ECE" w:rsidR="0001201C" w:rsidRPr="0001201C" w:rsidRDefault="00C656D2" w:rsidP="0001201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201,01</w:t>
            </w:r>
          </w:p>
        </w:tc>
        <w:tc>
          <w:tcPr>
            <w:tcW w:w="522" w:type="pct"/>
          </w:tcPr>
          <w:p w14:paraId="13C764AA" w14:textId="4F5E716B" w:rsidR="0001201C" w:rsidRPr="0001201C" w:rsidRDefault="0001201C" w:rsidP="0001201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208,28</w:t>
            </w:r>
          </w:p>
        </w:tc>
        <w:tc>
          <w:tcPr>
            <w:tcW w:w="537" w:type="pct"/>
          </w:tcPr>
          <w:p w14:paraId="636D82D7" w14:textId="1A720C03" w:rsidR="0001201C" w:rsidRPr="0001201C" w:rsidRDefault="0001201C" w:rsidP="0001201C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217,27</w:t>
            </w:r>
          </w:p>
        </w:tc>
        <w:tc>
          <w:tcPr>
            <w:tcW w:w="508" w:type="pct"/>
          </w:tcPr>
          <w:p w14:paraId="7B414BB3" w14:textId="4F61AA6A" w:rsidR="0001201C" w:rsidRPr="0001201C" w:rsidRDefault="0001201C" w:rsidP="0001201C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225,47</w:t>
            </w:r>
          </w:p>
        </w:tc>
        <w:tc>
          <w:tcPr>
            <w:tcW w:w="501" w:type="pct"/>
          </w:tcPr>
          <w:p w14:paraId="1301FD07" w14:textId="7B66BC3A" w:rsidR="0001201C" w:rsidRPr="0001201C" w:rsidRDefault="0001201C" w:rsidP="0001201C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233,55</w:t>
            </w:r>
          </w:p>
        </w:tc>
      </w:tr>
      <w:tr w:rsidR="00C656D2" w:rsidRPr="0001201C" w14:paraId="3DBDC57C" w14:textId="77777777" w:rsidTr="00C656D2">
        <w:trPr>
          <w:trHeight w:val="20"/>
          <w:tblHeader/>
        </w:trPr>
        <w:tc>
          <w:tcPr>
            <w:tcW w:w="2043" w:type="pct"/>
          </w:tcPr>
          <w:p w14:paraId="3083E7B0" w14:textId="3D661435" w:rsidR="00C656D2" w:rsidRPr="0001201C" w:rsidRDefault="00C656D2" w:rsidP="00C656D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Pr="00C656D2">
              <w:rPr>
                <w:sz w:val="16"/>
                <w:szCs w:val="16"/>
              </w:rPr>
              <w:t>Расходы на оплату товаров (услуг, работ), приобретаемых у других организаций</w:t>
            </w:r>
          </w:p>
        </w:tc>
        <w:tc>
          <w:tcPr>
            <w:tcW w:w="382" w:type="pct"/>
          </w:tcPr>
          <w:p w14:paraId="4F5C1FD5" w14:textId="3A976162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1C3E0081" w14:textId="692FF113" w:rsidR="00C656D2" w:rsidRDefault="004A26C7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75,05</w:t>
            </w:r>
          </w:p>
        </w:tc>
        <w:tc>
          <w:tcPr>
            <w:tcW w:w="522" w:type="pct"/>
          </w:tcPr>
          <w:p w14:paraId="11A60B57" w14:textId="2D730FC8" w:rsidR="00C656D2" w:rsidRPr="0001201C" w:rsidRDefault="004A26C7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76,66</w:t>
            </w:r>
          </w:p>
        </w:tc>
        <w:tc>
          <w:tcPr>
            <w:tcW w:w="537" w:type="pct"/>
          </w:tcPr>
          <w:p w14:paraId="2A0DBE1B" w14:textId="34141E10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79,84</w:t>
            </w:r>
          </w:p>
        </w:tc>
        <w:tc>
          <w:tcPr>
            <w:tcW w:w="508" w:type="pct"/>
          </w:tcPr>
          <w:p w14:paraId="6C42DFCE" w14:textId="2EE90B9D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83,03</w:t>
            </w:r>
          </w:p>
        </w:tc>
        <w:tc>
          <w:tcPr>
            <w:tcW w:w="501" w:type="pct"/>
          </w:tcPr>
          <w:p w14:paraId="5C90E569" w14:textId="53CC1689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86,36</w:t>
            </w:r>
          </w:p>
        </w:tc>
      </w:tr>
      <w:tr w:rsidR="004A26C7" w:rsidRPr="0001201C" w14:paraId="4CF146AB" w14:textId="77777777" w:rsidTr="00C656D2">
        <w:trPr>
          <w:trHeight w:val="56"/>
          <w:tblHeader/>
        </w:trPr>
        <w:tc>
          <w:tcPr>
            <w:tcW w:w="2043" w:type="pct"/>
          </w:tcPr>
          <w:p w14:paraId="152B2AC5" w14:textId="772BBFF1" w:rsidR="004A26C7" w:rsidRPr="0001201C" w:rsidRDefault="004A26C7" w:rsidP="00546231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</w:t>
            </w:r>
            <w:r w:rsidRPr="00C656D2">
              <w:rPr>
                <w:sz w:val="16"/>
                <w:szCs w:val="16"/>
              </w:rPr>
              <w:t>расходы на тепловую энергию</w:t>
            </w:r>
          </w:p>
        </w:tc>
        <w:tc>
          <w:tcPr>
            <w:tcW w:w="382" w:type="pct"/>
          </w:tcPr>
          <w:p w14:paraId="34148010" w14:textId="71C0F3F1" w:rsidR="004A26C7" w:rsidRPr="0001201C" w:rsidRDefault="004A26C7" w:rsidP="004A26C7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1181BE02" w14:textId="0DAEFC85" w:rsidR="004A26C7" w:rsidRDefault="004A26C7" w:rsidP="004A26C7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75,05</w:t>
            </w:r>
          </w:p>
        </w:tc>
        <w:tc>
          <w:tcPr>
            <w:tcW w:w="522" w:type="pct"/>
          </w:tcPr>
          <w:p w14:paraId="3962FE30" w14:textId="0D1A2EC5" w:rsidR="004A26C7" w:rsidRPr="0001201C" w:rsidRDefault="004A26C7" w:rsidP="004A26C7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76,66</w:t>
            </w:r>
          </w:p>
        </w:tc>
        <w:tc>
          <w:tcPr>
            <w:tcW w:w="537" w:type="pct"/>
          </w:tcPr>
          <w:p w14:paraId="25BE3867" w14:textId="4081031B" w:rsidR="004A26C7" w:rsidRPr="0001201C" w:rsidRDefault="004A26C7" w:rsidP="004A26C7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79,84</w:t>
            </w:r>
          </w:p>
        </w:tc>
        <w:tc>
          <w:tcPr>
            <w:tcW w:w="508" w:type="pct"/>
          </w:tcPr>
          <w:p w14:paraId="0D868D68" w14:textId="3060F00B" w:rsidR="004A26C7" w:rsidRPr="0001201C" w:rsidRDefault="004A26C7" w:rsidP="004A26C7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83,03</w:t>
            </w:r>
          </w:p>
        </w:tc>
        <w:tc>
          <w:tcPr>
            <w:tcW w:w="501" w:type="pct"/>
          </w:tcPr>
          <w:p w14:paraId="7DEB74EB" w14:textId="11E59BC2" w:rsidR="004A26C7" w:rsidRPr="0001201C" w:rsidRDefault="004A26C7" w:rsidP="004A26C7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86,36</w:t>
            </w:r>
          </w:p>
        </w:tc>
      </w:tr>
      <w:tr w:rsidR="00C656D2" w:rsidRPr="0001201C" w14:paraId="0D340B66" w14:textId="77777777" w:rsidTr="00C656D2">
        <w:trPr>
          <w:trHeight w:val="56"/>
          <w:tblHeader/>
        </w:trPr>
        <w:tc>
          <w:tcPr>
            <w:tcW w:w="2043" w:type="pct"/>
          </w:tcPr>
          <w:p w14:paraId="5E882EF3" w14:textId="0A9AE401" w:rsidR="00C656D2" w:rsidRDefault="00C656D2" w:rsidP="00C656D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1.2.1.2.</w:t>
            </w:r>
            <w:r w:rsidRPr="00C656D2">
              <w:rPr>
                <w:sz w:val="16"/>
                <w:szCs w:val="16"/>
              </w:rPr>
              <w:t>Налоги и сборы</w:t>
            </w:r>
          </w:p>
        </w:tc>
        <w:tc>
          <w:tcPr>
            <w:tcW w:w="382" w:type="pct"/>
          </w:tcPr>
          <w:p w14:paraId="297E15FE" w14:textId="2D82467F" w:rsidR="00C656D2" w:rsidRPr="009F58C7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651E7DEC" w14:textId="40D70E8E" w:rsidR="00C656D2" w:rsidRDefault="004A26C7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125,96</w:t>
            </w:r>
          </w:p>
        </w:tc>
        <w:tc>
          <w:tcPr>
            <w:tcW w:w="522" w:type="pct"/>
          </w:tcPr>
          <w:p w14:paraId="5DD1BFF8" w14:textId="20FEB1FC" w:rsidR="00C656D2" w:rsidRPr="0001201C" w:rsidRDefault="004A26C7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131,62</w:t>
            </w:r>
          </w:p>
        </w:tc>
        <w:tc>
          <w:tcPr>
            <w:tcW w:w="537" w:type="pct"/>
          </w:tcPr>
          <w:p w14:paraId="52BE62E3" w14:textId="2DE3EC8F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137,43</w:t>
            </w:r>
          </w:p>
        </w:tc>
        <w:tc>
          <w:tcPr>
            <w:tcW w:w="508" w:type="pct"/>
          </w:tcPr>
          <w:p w14:paraId="6CE4777A" w14:textId="7BCFD631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142,44</w:t>
            </w:r>
          </w:p>
        </w:tc>
        <w:tc>
          <w:tcPr>
            <w:tcW w:w="501" w:type="pct"/>
          </w:tcPr>
          <w:p w14:paraId="13C87B6F" w14:textId="56822C1A" w:rsidR="00C656D2" w:rsidRPr="0001201C" w:rsidRDefault="004A26C7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147,20</w:t>
            </w:r>
          </w:p>
        </w:tc>
      </w:tr>
      <w:tr w:rsidR="004A26C7" w:rsidRPr="0001201C" w14:paraId="149BF90F" w14:textId="77777777" w:rsidTr="00CD35FD">
        <w:trPr>
          <w:trHeight w:val="20"/>
          <w:tblHeader/>
        </w:trPr>
        <w:tc>
          <w:tcPr>
            <w:tcW w:w="2043" w:type="pct"/>
            <w:vAlign w:val="bottom"/>
          </w:tcPr>
          <w:p w14:paraId="42A57209" w14:textId="5DA9EEBC" w:rsidR="004A26C7" w:rsidRPr="0001201C" w:rsidRDefault="004A26C7" w:rsidP="004A26C7">
            <w:pPr>
              <w:tabs>
                <w:tab w:val="left" w:pos="916"/>
              </w:tabs>
              <w:ind w:left="28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</w:t>
            </w:r>
            <w:r>
              <w:rPr>
                <w:sz w:val="16"/>
                <w:szCs w:val="16"/>
              </w:rPr>
              <w:t>2.1</w:t>
            </w:r>
            <w:r w:rsidRPr="0001201C">
              <w:rPr>
                <w:sz w:val="16"/>
                <w:szCs w:val="16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382" w:type="pct"/>
          </w:tcPr>
          <w:p w14:paraId="60148A3A" w14:textId="2D7ABA6D" w:rsidR="004A26C7" w:rsidRPr="0001201C" w:rsidRDefault="004A26C7" w:rsidP="004A26C7">
            <w:pPr>
              <w:ind w:left="-168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0F07AD70" w14:textId="7880C803" w:rsidR="004A26C7" w:rsidRPr="0001201C" w:rsidRDefault="004A26C7" w:rsidP="004A26C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125,96</w:t>
            </w:r>
          </w:p>
        </w:tc>
        <w:tc>
          <w:tcPr>
            <w:tcW w:w="522" w:type="pct"/>
          </w:tcPr>
          <w:p w14:paraId="3495576A" w14:textId="7F861645" w:rsidR="004A26C7" w:rsidRPr="0001201C" w:rsidRDefault="004A26C7" w:rsidP="004A26C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131,62</w:t>
            </w:r>
          </w:p>
        </w:tc>
        <w:tc>
          <w:tcPr>
            <w:tcW w:w="537" w:type="pct"/>
          </w:tcPr>
          <w:p w14:paraId="60473A0C" w14:textId="56114695" w:rsidR="004A26C7" w:rsidRPr="0001201C" w:rsidRDefault="004A26C7" w:rsidP="004A26C7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137,43</w:t>
            </w:r>
          </w:p>
        </w:tc>
        <w:tc>
          <w:tcPr>
            <w:tcW w:w="508" w:type="pct"/>
          </w:tcPr>
          <w:p w14:paraId="278AD592" w14:textId="6FCDA329" w:rsidR="004A26C7" w:rsidRPr="0001201C" w:rsidRDefault="004A26C7" w:rsidP="004A26C7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142,44</w:t>
            </w:r>
          </w:p>
        </w:tc>
        <w:tc>
          <w:tcPr>
            <w:tcW w:w="501" w:type="pct"/>
          </w:tcPr>
          <w:p w14:paraId="14301B82" w14:textId="3EF93E5A" w:rsidR="004A26C7" w:rsidRPr="0001201C" w:rsidRDefault="004A26C7" w:rsidP="004A26C7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4A26C7">
              <w:rPr>
                <w:sz w:val="16"/>
                <w:szCs w:val="16"/>
              </w:rPr>
              <w:t>147,20</w:t>
            </w:r>
          </w:p>
        </w:tc>
      </w:tr>
      <w:tr w:rsidR="00C656D2" w:rsidRPr="0001201C" w14:paraId="01AF666C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595A2D75" w14:textId="77777777" w:rsidR="00C656D2" w:rsidRPr="0001201C" w:rsidRDefault="00C656D2" w:rsidP="00C656D2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1.3.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82" w:type="pct"/>
            <w:vAlign w:val="bottom"/>
          </w:tcPr>
          <w:p w14:paraId="738EC89A" w14:textId="77777777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47B2B9C0" w14:textId="78D316BE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3443,37</w:t>
            </w:r>
          </w:p>
        </w:tc>
        <w:tc>
          <w:tcPr>
            <w:tcW w:w="522" w:type="pct"/>
          </w:tcPr>
          <w:p w14:paraId="2E8CD3B1" w14:textId="3C5988F5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3810,11</w:t>
            </w:r>
          </w:p>
        </w:tc>
        <w:tc>
          <w:tcPr>
            <w:tcW w:w="537" w:type="pct"/>
          </w:tcPr>
          <w:p w14:paraId="6BA1F814" w14:textId="4BF75FFE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4113,71</w:t>
            </w:r>
          </w:p>
        </w:tc>
        <w:tc>
          <w:tcPr>
            <w:tcW w:w="508" w:type="pct"/>
          </w:tcPr>
          <w:p w14:paraId="3FB6FBBF" w14:textId="33ED9498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4328,36</w:t>
            </w:r>
          </w:p>
        </w:tc>
        <w:tc>
          <w:tcPr>
            <w:tcW w:w="501" w:type="pct"/>
          </w:tcPr>
          <w:p w14:paraId="69E49830" w14:textId="57D94BF3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4510,15</w:t>
            </w:r>
          </w:p>
        </w:tc>
      </w:tr>
      <w:tr w:rsidR="00C656D2" w:rsidRPr="0001201C" w14:paraId="4F8A3789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40F8EFD0" w14:textId="77777777" w:rsidR="00C656D2" w:rsidRPr="0001201C" w:rsidRDefault="00C656D2" w:rsidP="00C656D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82" w:type="pct"/>
            <w:vAlign w:val="bottom"/>
          </w:tcPr>
          <w:p w14:paraId="2914C958" w14:textId="77777777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1D7D0A17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vAlign w:val="bottom"/>
          </w:tcPr>
          <w:p w14:paraId="60F8D504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37" w:type="pct"/>
          </w:tcPr>
          <w:p w14:paraId="4510F14A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8" w:type="pct"/>
          </w:tcPr>
          <w:p w14:paraId="360580DF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bottom"/>
          </w:tcPr>
          <w:p w14:paraId="0C2DAE73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656D2" w:rsidRPr="0001201C" w14:paraId="0E7F10FA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048160BC" w14:textId="77777777" w:rsidR="00C656D2" w:rsidRPr="0001201C" w:rsidRDefault="00C656D2" w:rsidP="00C656D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82" w:type="pct"/>
            <w:vAlign w:val="bottom"/>
          </w:tcPr>
          <w:p w14:paraId="7268B73A" w14:textId="77777777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364A2F58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vAlign w:val="bottom"/>
          </w:tcPr>
          <w:p w14:paraId="570725CC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37" w:type="pct"/>
          </w:tcPr>
          <w:p w14:paraId="4841F35A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8" w:type="pct"/>
          </w:tcPr>
          <w:p w14:paraId="2521A148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bottom"/>
          </w:tcPr>
          <w:p w14:paraId="16351BFA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656D2" w:rsidRPr="0001201C" w14:paraId="23A1A58A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3BBB016A" w14:textId="77777777" w:rsidR="00C656D2" w:rsidRPr="0001201C" w:rsidRDefault="00C656D2" w:rsidP="00C656D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82" w:type="pct"/>
            <w:vAlign w:val="bottom"/>
          </w:tcPr>
          <w:p w14:paraId="10321B00" w14:textId="77777777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6D427A28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2" w:type="pct"/>
            <w:vAlign w:val="bottom"/>
          </w:tcPr>
          <w:p w14:paraId="2A554259" w14:textId="77777777" w:rsidR="00C656D2" w:rsidRPr="00C656D2" w:rsidRDefault="00C656D2" w:rsidP="00C656D2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37" w:type="pct"/>
          </w:tcPr>
          <w:p w14:paraId="23DF26E0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8" w:type="pct"/>
          </w:tcPr>
          <w:p w14:paraId="42E33159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bottom"/>
          </w:tcPr>
          <w:p w14:paraId="20E8F23C" w14:textId="77777777" w:rsidR="00C656D2" w:rsidRPr="00C656D2" w:rsidRDefault="00C656D2" w:rsidP="00C656D2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656D2" w:rsidRPr="0001201C" w14:paraId="58F74BCF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160F97F5" w14:textId="2EFEDE67" w:rsidR="00C656D2" w:rsidRPr="0001201C" w:rsidRDefault="00C656D2" w:rsidP="00C656D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82" w:type="pct"/>
            <w:vAlign w:val="bottom"/>
          </w:tcPr>
          <w:p w14:paraId="6F454960" w14:textId="4CCD51FA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501CCAA1" w14:textId="3993F95B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-1106,36</w:t>
            </w:r>
          </w:p>
        </w:tc>
        <w:tc>
          <w:tcPr>
            <w:tcW w:w="522" w:type="pct"/>
          </w:tcPr>
          <w:p w14:paraId="7B966BE9" w14:textId="7CD1F38B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-867,73</w:t>
            </w:r>
          </w:p>
        </w:tc>
        <w:tc>
          <w:tcPr>
            <w:tcW w:w="537" w:type="pct"/>
          </w:tcPr>
          <w:p w14:paraId="54B6B949" w14:textId="1D791362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08" w:type="pct"/>
          </w:tcPr>
          <w:p w14:paraId="00EF183D" w14:textId="48E9620E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</w:tcPr>
          <w:p w14:paraId="6F819328" w14:textId="3C63898E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C656D2" w:rsidRPr="0001201C" w14:paraId="30BD75C0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0B586C63" w14:textId="3FC33D10" w:rsidR="00C656D2" w:rsidRPr="0001201C" w:rsidRDefault="00C656D2" w:rsidP="00C656D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382" w:type="pct"/>
            <w:vAlign w:val="bottom"/>
          </w:tcPr>
          <w:p w14:paraId="5A42CFDB" w14:textId="77777777" w:rsidR="00C656D2" w:rsidRPr="0001201C" w:rsidRDefault="00C656D2" w:rsidP="00C656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502CDFBF" w14:textId="588046F3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-178,33</w:t>
            </w:r>
          </w:p>
        </w:tc>
        <w:tc>
          <w:tcPr>
            <w:tcW w:w="522" w:type="pct"/>
          </w:tcPr>
          <w:p w14:paraId="64907E66" w14:textId="3648DC83" w:rsidR="00C656D2" w:rsidRPr="0001201C" w:rsidRDefault="00C656D2" w:rsidP="00C656D2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37" w:type="pct"/>
          </w:tcPr>
          <w:p w14:paraId="164DEAFF" w14:textId="537F7325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08" w:type="pct"/>
          </w:tcPr>
          <w:p w14:paraId="463CE73E" w14:textId="1FCAF72F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</w:tcPr>
          <w:p w14:paraId="29800E9D" w14:textId="79D0EA04" w:rsidR="00C656D2" w:rsidRPr="0001201C" w:rsidRDefault="00C656D2" w:rsidP="00C656D2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7C69E8" w:rsidRPr="0001201C" w14:paraId="08BA9639" w14:textId="77777777" w:rsidTr="00C656D2">
        <w:trPr>
          <w:trHeight w:val="45"/>
          <w:tblHeader/>
        </w:trPr>
        <w:tc>
          <w:tcPr>
            <w:tcW w:w="2043" w:type="pct"/>
            <w:vAlign w:val="bottom"/>
          </w:tcPr>
          <w:p w14:paraId="6F5B22FC" w14:textId="77777777" w:rsidR="007C69E8" w:rsidRPr="0001201C" w:rsidRDefault="007C69E8" w:rsidP="007C69E8">
            <w:pPr>
              <w:rPr>
                <w:bCs/>
                <w:color w:val="FF0000"/>
                <w:sz w:val="16"/>
                <w:szCs w:val="16"/>
              </w:rPr>
            </w:pPr>
            <w:r w:rsidRPr="0001201C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82" w:type="pct"/>
          </w:tcPr>
          <w:p w14:paraId="165A0E64" w14:textId="77777777" w:rsidR="007C69E8" w:rsidRPr="0001201C" w:rsidRDefault="007C69E8" w:rsidP="007C69E8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507" w:type="pct"/>
          </w:tcPr>
          <w:p w14:paraId="17E6DB16" w14:textId="0A213D19" w:rsidR="007C69E8" w:rsidRPr="007C69E8" w:rsidRDefault="007C69E8" w:rsidP="007C69E8">
            <w:pPr>
              <w:ind w:left="-39" w:right="-67"/>
              <w:jc w:val="right"/>
              <w:rPr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11437,27</w:t>
            </w:r>
          </w:p>
        </w:tc>
        <w:tc>
          <w:tcPr>
            <w:tcW w:w="522" w:type="pct"/>
          </w:tcPr>
          <w:p w14:paraId="0E6F9CC8" w14:textId="60C23EC9" w:rsidR="007C69E8" w:rsidRPr="007C69E8" w:rsidRDefault="007C69E8" w:rsidP="007C69E8">
            <w:pPr>
              <w:ind w:left="-39" w:right="-67"/>
              <w:jc w:val="right"/>
              <w:rPr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12425,79</w:t>
            </w:r>
          </w:p>
        </w:tc>
        <w:tc>
          <w:tcPr>
            <w:tcW w:w="537" w:type="pct"/>
          </w:tcPr>
          <w:p w14:paraId="6ADE6A90" w14:textId="7F46D40B" w:rsidR="007C69E8" w:rsidRPr="007C69E8" w:rsidRDefault="007C69E8" w:rsidP="007C69E8">
            <w:pPr>
              <w:ind w:left="-95" w:right="-67"/>
              <w:jc w:val="right"/>
              <w:rPr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13880,65</w:t>
            </w:r>
          </w:p>
        </w:tc>
        <w:tc>
          <w:tcPr>
            <w:tcW w:w="508" w:type="pct"/>
          </w:tcPr>
          <w:p w14:paraId="71AB0235" w14:textId="01C9513E" w:rsidR="007C69E8" w:rsidRPr="007C69E8" w:rsidRDefault="007C69E8" w:rsidP="007C69E8">
            <w:pPr>
              <w:ind w:left="-95" w:right="-67"/>
              <w:jc w:val="right"/>
              <w:rPr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14386,17</w:t>
            </w:r>
          </w:p>
        </w:tc>
        <w:tc>
          <w:tcPr>
            <w:tcW w:w="501" w:type="pct"/>
          </w:tcPr>
          <w:p w14:paraId="48809AAC" w14:textId="29687589" w:rsidR="007C69E8" w:rsidRPr="007C69E8" w:rsidRDefault="007C69E8" w:rsidP="007C69E8">
            <w:pPr>
              <w:ind w:left="-95" w:right="-67"/>
              <w:jc w:val="right"/>
              <w:rPr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14867,09</w:t>
            </w:r>
          </w:p>
        </w:tc>
      </w:tr>
    </w:tbl>
    <w:p w14:paraId="7921C519" w14:textId="5F2907EB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lastRenderedPageBreak/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0D238D" w:rsidRPr="000D238D">
        <w:rPr>
          <w:sz w:val="24"/>
          <w:szCs w:val="24"/>
        </w:rPr>
        <w:t>206,598</w:t>
      </w:r>
      <w:r w:rsidRPr="000D238D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0D238D" w:rsidRPr="000D238D">
        <w:rPr>
          <w:sz w:val="24"/>
          <w:szCs w:val="24"/>
        </w:rPr>
        <w:t>322,066</w:t>
      </w:r>
      <w:r w:rsidRPr="000D238D">
        <w:rPr>
          <w:sz w:val="24"/>
          <w:szCs w:val="24"/>
        </w:rPr>
        <w:t xml:space="preserve"> тыс. кВт·ч.</w:t>
      </w:r>
    </w:p>
    <w:p w14:paraId="1F93395C" w14:textId="2F920271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>
        <w:rPr>
          <w:sz w:val="24"/>
          <w:szCs w:val="24"/>
        </w:rPr>
        <w:t>МКП «ПрофКомСервис»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5 </w:t>
      </w:r>
      <w:r w:rsidRPr="00855304">
        <w:rPr>
          <w:sz w:val="24"/>
          <w:szCs w:val="24"/>
        </w:rPr>
        <w:t>год:</w:t>
      </w:r>
    </w:p>
    <w:p w14:paraId="6E0C39D6" w14:textId="52CCA07A" w:rsidR="007A5902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D238D">
        <w:rPr>
          <w:sz w:val="24"/>
          <w:szCs w:val="24"/>
        </w:rPr>
        <w:t>расходы на оплату регулируемыми организациями выполняемых сторонними организациями работ и (или) услуг</w:t>
      </w:r>
      <w:r w:rsidR="007A5902" w:rsidRPr="000D238D">
        <w:rPr>
          <w:sz w:val="24"/>
          <w:szCs w:val="24"/>
        </w:rPr>
        <w:t xml:space="preserve"> в размере </w:t>
      </w:r>
      <w:r w:rsidRPr="000D238D">
        <w:rPr>
          <w:sz w:val="24"/>
          <w:szCs w:val="24"/>
        </w:rPr>
        <w:t>70,62</w:t>
      </w:r>
      <w:r w:rsidR="007A5902" w:rsidRPr="000D238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AC1DA46" w14:textId="709EEBD2" w:rsidR="000D238D" w:rsidRPr="000D238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D238D">
        <w:rPr>
          <w:sz w:val="24"/>
          <w:szCs w:val="24"/>
        </w:rPr>
        <w:t>расходы на оплату труда основного производственного персонала в размере 2708,22 тыс.руб. на основании положений статьи 252 Налогового кодекса РФ (как не обоснованные расходы);</w:t>
      </w:r>
    </w:p>
    <w:p w14:paraId="76757A10" w14:textId="34486245" w:rsidR="000D238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D238D">
        <w:rPr>
          <w:sz w:val="24"/>
          <w:szCs w:val="24"/>
        </w:rPr>
        <w:t>отчисления на социальные нужды основного производственного персонала в размере 817,88 тыс.руб. на основании положений статьи 252 Налогового кодекса РФ (как не обоснованные расходы);</w:t>
      </w:r>
    </w:p>
    <w:p w14:paraId="0F2551EB" w14:textId="51209F65" w:rsidR="00B64CE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D238D">
        <w:rPr>
          <w:sz w:val="24"/>
          <w:szCs w:val="24"/>
        </w:rPr>
        <w:t>о</w:t>
      </w:r>
      <w:r>
        <w:rPr>
          <w:sz w:val="24"/>
          <w:szCs w:val="24"/>
        </w:rPr>
        <w:t xml:space="preserve">бщехозяйственные расходы </w:t>
      </w:r>
      <w:r w:rsidRPr="000D238D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506,01</w:t>
      </w:r>
      <w:r w:rsidRPr="000D238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77BC051D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64CE8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B64CE8" w:rsidRPr="00B64CE8">
        <w:rPr>
          <w:sz w:val="24"/>
          <w:szCs w:val="24"/>
        </w:rPr>
        <w:t>391,25</w:t>
      </w:r>
      <w:r w:rsidRPr="00B64CE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46937DB" w14:textId="03612F46" w:rsidR="00B64CE8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</w:t>
      </w:r>
      <w:r w:rsidRPr="00B64CE8">
        <w:rPr>
          <w:sz w:val="24"/>
          <w:szCs w:val="24"/>
        </w:rPr>
        <w:t>плат</w:t>
      </w:r>
      <w:r>
        <w:rPr>
          <w:sz w:val="24"/>
          <w:szCs w:val="24"/>
        </w:rPr>
        <w:t>ы</w:t>
      </w:r>
      <w:r w:rsidRPr="00B64CE8">
        <w:rPr>
          <w:sz w:val="24"/>
          <w:szCs w:val="24"/>
        </w:rPr>
        <w:t xml:space="preserve"> за пользование водным объектом</w:t>
      </w:r>
      <w:r>
        <w:rPr>
          <w:sz w:val="24"/>
          <w:szCs w:val="24"/>
        </w:rPr>
        <w:t xml:space="preserve"> </w:t>
      </w:r>
      <w:r w:rsidRPr="00B64CE8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16,56</w:t>
      </w:r>
      <w:r w:rsidRPr="00B64CE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EB5C295" w14:textId="6FB3BF63" w:rsidR="007A5902" w:rsidRPr="00B64CE8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64CE8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B64CE8" w:rsidRPr="00B64CE8">
        <w:rPr>
          <w:sz w:val="24"/>
          <w:szCs w:val="24"/>
        </w:rPr>
        <w:t xml:space="preserve">48,24 </w:t>
      </w:r>
      <w:r w:rsidRPr="00B64CE8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F6C303" w14:textId="307DA9F3" w:rsidR="007A5902" w:rsidRPr="00B64CE8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64CE8">
        <w:rPr>
          <w:sz w:val="24"/>
          <w:szCs w:val="24"/>
        </w:rPr>
        <w:t xml:space="preserve">расходы на электрическую энергию в размере </w:t>
      </w:r>
      <w:r w:rsidR="00B64CE8" w:rsidRPr="00B64CE8">
        <w:rPr>
          <w:sz w:val="24"/>
          <w:szCs w:val="24"/>
        </w:rPr>
        <w:t>313,22</w:t>
      </w:r>
      <w:r w:rsidRPr="00B64CE8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08E1C61A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>МКП «ПрофКомСервис»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028"/>
        <w:gridCol w:w="990"/>
        <w:gridCol w:w="990"/>
        <w:gridCol w:w="990"/>
        <w:gridCol w:w="990"/>
        <w:gridCol w:w="990"/>
      </w:tblGrid>
      <w:tr w:rsidR="007A5902" w:rsidRPr="0092451D" w14:paraId="56EBA3C0" w14:textId="77777777" w:rsidTr="0012659D">
        <w:trPr>
          <w:trHeight w:val="20"/>
          <w:tblHeader/>
        </w:trPr>
        <w:tc>
          <w:tcPr>
            <w:tcW w:w="2132" w:type="pct"/>
            <w:vAlign w:val="bottom"/>
          </w:tcPr>
          <w:p w14:paraId="01D3D933" w14:textId="77777777" w:rsidR="007A5902" w:rsidRPr="0092451D" w:rsidRDefault="007A5902" w:rsidP="0012659D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3" w:type="pct"/>
            <w:vAlign w:val="bottom"/>
          </w:tcPr>
          <w:p w14:paraId="37403C97" w14:textId="77777777" w:rsidR="007A5902" w:rsidRPr="0092451D" w:rsidRDefault="007A5902" w:rsidP="001265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Ед. изм.</w:t>
            </w:r>
          </w:p>
        </w:tc>
        <w:tc>
          <w:tcPr>
            <w:tcW w:w="475" w:type="pct"/>
            <w:vAlign w:val="center"/>
          </w:tcPr>
          <w:p w14:paraId="36613623" w14:textId="4FE4D5C7" w:rsidR="007A5902" w:rsidRPr="004B1A56" w:rsidRDefault="00CE4D5A" w:rsidP="0012659D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7A5902" w:rsidRPr="00767F8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7A5902" w:rsidRPr="00767F88">
              <w:rPr>
                <w:sz w:val="16"/>
                <w:szCs w:val="16"/>
              </w:rPr>
              <w:t>.202</w:t>
            </w:r>
            <w:r w:rsidR="007A5902">
              <w:rPr>
                <w:sz w:val="16"/>
                <w:szCs w:val="16"/>
              </w:rPr>
              <w:t>5</w:t>
            </w:r>
            <w:r w:rsidR="007A5902" w:rsidRPr="00767F88">
              <w:rPr>
                <w:sz w:val="16"/>
                <w:szCs w:val="16"/>
              </w:rPr>
              <w:t>-31.12.202</w:t>
            </w:r>
            <w:r w:rsidR="007A5902">
              <w:rPr>
                <w:sz w:val="16"/>
                <w:szCs w:val="16"/>
              </w:rPr>
              <w:t>5</w:t>
            </w:r>
          </w:p>
        </w:tc>
        <w:tc>
          <w:tcPr>
            <w:tcW w:w="475" w:type="pct"/>
          </w:tcPr>
          <w:p w14:paraId="4A66BFEB" w14:textId="77777777" w:rsidR="007A5902" w:rsidRPr="004B1A56" w:rsidRDefault="007A5902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6</w:t>
            </w:r>
            <w:r w:rsidRPr="00767F88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>1.12.2026</w:t>
            </w:r>
          </w:p>
        </w:tc>
        <w:tc>
          <w:tcPr>
            <w:tcW w:w="475" w:type="pct"/>
          </w:tcPr>
          <w:p w14:paraId="62DD8717" w14:textId="77777777" w:rsidR="007A5902" w:rsidRPr="004B1A56" w:rsidRDefault="007A5902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7</w:t>
            </w:r>
            <w:r w:rsidRPr="00767F88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>1.12.2027</w:t>
            </w:r>
          </w:p>
        </w:tc>
        <w:tc>
          <w:tcPr>
            <w:tcW w:w="475" w:type="pct"/>
          </w:tcPr>
          <w:p w14:paraId="67946CB2" w14:textId="77777777" w:rsidR="007A5902" w:rsidRPr="004B1A56" w:rsidRDefault="007A5902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8</w:t>
            </w:r>
            <w:r w:rsidRPr="00767F88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>1.12.2028</w:t>
            </w:r>
          </w:p>
        </w:tc>
        <w:tc>
          <w:tcPr>
            <w:tcW w:w="475" w:type="pct"/>
          </w:tcPr>
          <w:p w14:paraId="441AE5B8" w14:textId="77777777" w:rsidR="007A5902" w:rsidRPr="004B1A56" w:rsidRDefault="007A5902" w:rsidP="0012659D">
            <w:pPr>
              <w:jc w:val="right"/>
              <w:rPr>
                <w:color w:val="FF0000"/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9</w:t>
            </w:r>
            <w:r w:rsidRPr="00767F88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>1.12.2029</w:t>
            </w:r>
          </w:p>
        </w:tc>
      </w:tr>
      <w:tr w:rsidR="00815398" w:rsidRPr="0092451D" w14:paraId="2421247A" w14:textId="77777777" w:rsidTr="00D03A3F">
        <w:trPr>
          <w:trHeight w:val="20"/>
          <w:tblHeader/>
        </w:trPr>
        <w:tc>
          <w:tcPr>
            <w:tcW w:w="2132" w:type="pct"/>
            <w:vAlign w:val="bottom"/>
          </w:tcPr>
          <w:p w14:paraId="28F5E9C6" w14:textId="77777777" w:rsidR="00815398" w:rsidRPr="0092451D" w:rsidRDefault="00815398" w:rsidP="0081539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93" w:type="pct"/>
            <w:vAlign w:val="bottom"/>
          </w:tcPr>
          <w:p w14:paraId="7D160F6B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525A6871" w14:textId="0EF42C21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12 531,31</w:t>
            </w:r>
          </w:p>
        </w:tc>
        <w:tc>
          <w:tcPr>
            <w:tcW w:w="475" w:type="pct"/>
          </w:tcPr>
          <w:p w14:paraId="71659888" w14:textId="66EA305F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13 293,52</w:t>
            </w:r>
          </w:p>
        </w:tc>
        <w:tc>
          <w:tcPr>
            <w:tcW w:w="475" w:type="pct"/>
          </w:tcPr>
          <w:p w14:paraId="61997F4F" w14:textId="00EEA98C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13 880,65</w:t>
            </w:r>
          </w:p>
        </w:tc>
        <w:tc>
          <w:tcPr>
            <w:tcW w:w="475" w:type="pct"/>
          </w:tcPr>
          <w:p w14:paraId="58B5D4BC" w14:textId="7A014B0B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14 386,17</w:t>
            </w:r>
          </w:p>
        </w:tc>
        <w:tc>
          <w:tcPr>
            <w:tcW w:w="475" w:type="pct"/>
          </w:tcPr>
          <w:p w14:paraId="52AF24BC" w14:textId="4F98F0D8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14 867,09</w:t>
            </w:r>
          </w:p>
        </w:tc>
      </w:tr>
      <w:tr w:rsidR="00815398" w:rsidRPr="0092451D" w14:paraId="0A289C8A" w14:textId="77777777" w:rsidTr="00D03A3F">
        <w:trPr>
          <w:trHeight w:val="20"/>
          <w:tblHeader/>
        </w:trPr>
        <w:tc>
          <w:tcPr>
            <w:tcW w:w="2132" w:type="pct"/>
            <w:vAlign w:val="bottom"/>
          </w:tcPr>
          <w:p w14:paraId="2681308B" w14:textId="77777777" w:rsidR="00815398" w:rsidRPr="0092451D" w:rsidRDefault="00815398" w:rsidP="00815398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493" w:type="pct"/>
            <w:vAlign w:val="bottom"/>
          </w:tcPr>
          <w:p w14:paraId="452FFE44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5D3A5244" w14:textId="29C9C87C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8888,82</w:t>
            </w:r>
          </w:p>
        </w:tc>
        <w:tc>
          <w:tcPr>
            <w:tcW w:w="475" w:type="pct"/>
          </w:tcPr>
          <w:p w14:paraId="2172D332" w14:textId="1CC51984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9275,13</w:t>
            </w:r>
          </w:p>
        </w:tc>
        <w:tc>
          <w:tcPr>
            <w:tcW w:w="475" w:type="pct"/>
          </w:tcPr>
          <w:p w14:paraId="4D1CEC7F" w14:textId="09927B70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9549,67</w:t>
            </w:r>
          </w:p>
        </w:tc>
        <w:tc>
          <w:tcPr>
            <w:tcW w:w="475" w:type="pct"/>
          </w:tcPr>
          <w:p w14:paraId="69A99AFA" w14:textId="43F15132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9832,34</w:t>
            </w:r>
          </w:p>
        </w:tc>
        <w:tc>
          <w:tcPr>
            <w:tcW w:w="475" w:type="pct"/>
          </w:tcPr>
          <w:p w14:paraId="2AAB56AB" w14:textId="6730E43F" w:rsidR="00815398" w:rsidRPr="00CE4D5A" w:rsidRDefault="00815398" w:rsidP="00815398">
            <w:pPr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10123,38</w:t>
            </w:r>
          </w:p>
        </w:tc>
      </w:tr>
      <w:tr w:rsidR="00815398" w:rsidRPr="0092451D" w14:paraId="16937C22" w14:textId="77777777" w:rsidTr="0051131E">
        <w:trPr>
          <w:trHeight w:val="20"/>
          <w:tblHeader/>
        </w:trPr>
        <w:tc>
          <w:tcPr>
            <w:tcW w:w="2132" w:type="pct"/>
            <w:vAlign w:val="bottom"/>
          </w:tcPr>
          <w:p w14:paraId="530A195F" w14:textId="77777777" w:rsidR="00815398" w:rsidRPr="0092451D" w:rsidRDefault="00815398" w:rsidP="0081539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93" w:type="pct"/>
          </w:tcPr>
          <w:p w14:paraId="457C370A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49585931" w14:textId="4870F507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201,01</w:t>
            </w:r>
          </w:p>
        </w:tc>
        <w:tc>
          <w:tcPr>
            <w:tcW w:w="475" w:type="pct"/>
          </w:tcPr>
          <w:p w14:paraId="5D628F7B" w14:textId="1258AFB2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208,28</w:t>
            </w:r>
          </w:p>
        </w:tc>
        <w:tc>
          <w:tcPr>
            <w:tcW w:w="475" w:type="pct"/>
          </w:tcPr>
          <w:p w14:paraId="292743FE" w14:textId="43E18D53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217,27</w:t>
            </w:r>
          </w:p>
        </w:tc>
        <w:tc>
          <w:tcPr>
            <w:tcW w:w="475" w:type="pct"/>
          </w:tcPr>
          <w:p w14:paraId="626826BC" w14:textId="3A68C4ED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225,47</w:t>
            </w:r>
          </w:p>
        </w:tc>
        <w:tc>
          <w:tcPr>
            <w:tcW w:w="475" w:type="pct"/>
          </w:tcPr>
          <w:p w14:paraId="50A2F4BB" w14:textId="19C2FEA8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233,55</w:t>
            </w:r>
          </w:p>
        </w:tc>
      </w:tr>
      <w:tr w:rsidR="00815398" w:rsidRPr="0092451D" w14:paraId="2CD224B8" w14:textId="77777777" w:rsidTr="00A21E28">
        <w:trPr>
          <w:trHeight w:val="20"/>
          <w:tblHeader/>
        </w:trPr>
        <w:tc>
          <w:tcPr>
            <w:tcW w:w="2132" w:type="pct"/>
            <w:vAlign w:val="bottom"/>
          </w:tcPr>
          <w:p w14:paraId="330DE1CB" w14:textId="77777777" w:rsidR="00815398" w:rsidRPr="0092451D" w:rsidRDefault="00815398" w:rsidP="00815398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1.3. </w:t>
            </w:r>
            <w:r w:rsidRPr="0092451D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93" w:type="pct"/>
          </w:tcPr>
          <w:p w14:paraId="369C007D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19CB89CA" w14:textId="2850BD11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3443,37</w:t>
            </w:r>
          </w:p>
        </w:tc>
        <w:tc>
          <w:tcPr>
            <w:tcW w:w="475" w:type="pct"/>
          </w:tcPr>
          <w:p w14:paraId="3071BDB6" w14:textId="7AB1CC6C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3810,11</w:t>
            </w:r>
          </w:p>
        </w:tc>
        <w:tc>
          <w:tcPr>
            <w:tcW w:w="475" w:type="pct"/>
          </w:tcPr>
          <w:p w14:paraId="1687B2DB" w14:textId="13B67E2A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4113,71</w:t>
            </w:r>
          </w:p>
        </w:tc>
        <w:tc>
          <w:tcPr>
            <w:tcW w:w="475" w:type="pct"/>
          </w:tcPr>
          <w:p w14:paraId="6EE536D3" w14:textId="7DF7A517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4328,36</w:t>
            </w:r>
          </w:p>
        </w:tc>
        <w:tc>
          <w:tcPr>
            <w:tcW w:w="475" w:type="pct"/>
          </w:tcPr>
          <w:p w14:paraId="6A75307D" w14:textId="36A2A9A2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4510,15</w:t>
            </w:r>
          </w:p>
        </w:tc>
      </w:tr>
      <w:tr w:rsidR="007A5902" w:rsidRPr="0092451D" w14:paraId="5E3714C3" w14:textId="77777777" w:rsidTr="0012659D">
        <w:trPr>
          <w:trHeight w:val="20"/>
          <w:tblHeader/>
        </w:trPr>
        <w:tc>
          <w:tcPr>
            <w:tcW w:w="2132" w:type="pct"/>
            <w:vAlign w:val="bottom"/>
          </w:tcPr>
          <w:p w14:paraId="14D7839C" w14:textId="77777777" w:rsidR="007A5902" w:rsidRPr="0092451D" w:rsidRDefault="007A5902" w:rsidP="0012659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93" w:type="pct"/>
          </w:tcPr>
          <w:p w14:paraId="2AE0A634" w14:textId="77777777" w:rsidR="007A5902" w:rsidRPr="0092451D" w:rsidRDefault="007A5902" w:rsidP="001265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bottom"/>
          </w:tcPr>
          <w:p w14:paraId="0754EB04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5FC8AEED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30EB95F6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58E4CC5E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5C810F5C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7A5902" w:rsidRPr="0092451D" w14:paraId="15FC3F4B" w14:textId="77777777" w:rsidTr="0012659D">
        <w:trPr>
          <w:trHeight w:val="20"/>
          <w:tblHeader/>
        </w:trPr>
        <w:tc>
          <w:tcPr>
            <w:tcW w:w="2132" w:type="pct"/>
            <w:vAlign w:val="bottom"/>
          </w:tcPr>
          <w:p w14:paraId="02245C9A" w14:textId="77777777" w:rsidR="007A5902" w:rsidRPr="0092451D" w:rsidRDefault="007A5902" w:rsidP="0012659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93" w:type="pct"/>
          </w:tcPr>
          <w:p w14:paraId="480138AA" w14:textId="77777777" w:rsidR="007A5902" w:rsidRPr="0092451D" w:rsidRDefault="007A5902" w:rsidP="001265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bottom"/>
          </w:tcPr>
          <w:p w14:paraId="71E7BEDA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6291B405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0AB4035B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36F15DE0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64AB2D78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7A5902" w:rsidRPr="0092451D" w14:paraId="7C92C6FE" w14:textId="77777777" w:rsidTr="0012659D">
        <w:trPr>
          <w:trHeight w:val="20"/>
          <w:tblHeader/>
        </w:trPr>
        <w:tc>
          <w:tcPr>
            <w:tcW w:w="2132" w:type="pct"/>
            <w:vAlign w:val="bottom"/>
          </w:tcPr>
          <w:p w14:paraId="0914ECE7" w14:textId="77777777" w:rsidR="007A5902" w:rsidRPr="0092451D" w:rsidRDefault="007A5902" w:rsidP="0012659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93" w:type="pct"/>
          </w:tcPr>
          <w:p w14:paraId="02D1066E" w14:textId="77777777" w:rsidR="007A5902" w:rsidRPr="0092451D" w:rsidRDefault="007A5902" w:rsidP="001265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vAlign w:val="bottom"/>
          </w:tcPr>
          <w:p w14:paraId="27F05964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4AA22A58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4A3F5AB8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7B881C22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FAC35A5" w14:textId="77777777" w:rsidR="007A5902" w:rsidRPr="00815398" w:rsidRDefault="007A5902" w:rsidP="0012659D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815398" w:rsidRPr="0092451D" w14:paraId="5C195A74" w14:textId="77777777" w:rsidTr="00F71DBE">
        <w:trPr>
          <w:trHeight w:val="20"/>
          <w:tblHeader/>
        </w:trPr>
        <w:tc>
          <w:tcPr>
            <w:tcW w:w="2132" w:type="pct"/>
            <w:vAlign w:val="bottom"/>
          </w:tcPr>
          <w:p w14:paraId="25E8E620" w14:textId="70549996" w:rsidR="00815398" w:rsidRPr="0092451D" w:rsidRDefault="00815398" w:rsidP="0081539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493" w:type="pct"/>
          </w:tcPr>
          <w:p w14:paraId="72D12A2C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5D4BBDF0" w14:textId="69A90129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-1106,36</w:t>
            </w:r>
          </w:p>
        </w:tc>
        <w:tc>
          <w:tcPr>
            <w:tcW w:w="475" w:type="pct"/>
          </w:tcPr>
          <w:p w14:paraId="3DC28604" w14:textId="4336C7A6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-867,73</w:t>
            </w:r>
          </w:p>
        </w:tc>
        <w:tc>
          <w:tcPr>
            <w:tcW w:w="475" w:type="pct"/>
          </w:tcPr>
          <w:p w14:paraId="6A9C1B85" w14:textId="43ABD2F4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01D8B5E1" w14:textId="7E3907E6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71C6362D" w14:textId="770EC6AF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815398" w:rsidRPr="0092451D" w14:paraId="399EAA93" w14:textId="77777777" w:rsidTr="002B50F5">
        <w:trPr>
          <w:trHeight w:val="20"/>
          <w:tblHeader/>
        </w:trPr>
        <w:tc>
          <w:tcPr>
            <w:tcW w:w="2132" w:type="pct"/>
            <w:vAlign w:val="bottom"/>
          </w:tcPr>
          <w:p w14:paraId="7B70164A" w14:textId="07B7CD5D" w:rsidR="00815398" w:rsidRPr="0001201C" w:rsidRDefault="00815398" w:rsidP="0081539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493" w:type="pct"/>
            <w:vAlign w:val="bottom"/>
          </w:tcPr>
          <w:p w14:paraId="16140EDE" w14:textId="314E2853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1A8B2967" w14:textId="1E6DD331" w:rsidR="00815398" w:rsidRPr="0001201C" w:rsidRDefault="00815398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-178,33</w:t>
            </w:r>
          </w:p>
        </w:tc>
        <w:tc>
          <w:tcPr>
            <w:tcW w:w="475" w:type="pct"/>
          </w:tcPr>
          <w:p w14:paraId="67C00438" w14:textId="764BCCE0" w:rsidR="00815398" w:rsidRPr="0001201C" w:rsidRDefault="00815398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4C6ED433" w14:textId="54FF918E" w:rsidR="00815398" w:rsidRPr="0001201C" w:rsidRDefault="00815398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52CF8C08" w14:textId="6B7FC8E1" w:rsidR="00815398" w:rsidRPr="0001201C" w:rsidRDefault="00815398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7F3BF122" w14:textId="204A46D8" w:rsidR="00815398" w:rsidRPr="0001201C" w:rsidRDefault="00815398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815398" w:rsidRPr="0092451D" w14:paraId="59BD2E27" w14:textId="77777777" w:rsidTr="00DD2F38">
        <w:trPr>
          <w:trHeight w:val="45"/>
          <w:tblHeader/>
        </w:trPr>
        <w:tc>
          <w:tcPr>
            <w:tcW w:w="2132" w:type="pct"/>
            <w:vAlign w:val="bottom"/>
          </w:tcPr>
          <w:p w14:paraId="53AFF985" w14:textId="77777777" w:rsidR="00815398" w:rsidRPr="0092451D" w:rsidRDefault="00815398" w:rsidP="00815398">
            <w:pPr>
              <w:rPr>
                <w:bCs/>
                <w:color w:val="FF0000"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93" w:type="pct"/>
          </w:tcPr>
          <w:p w14:paraId="210433F1" w14:textId="77777777" w:rsidR="00815398" w:rsidRPr="0092451D" w:rsidRDefault="00815398" w:rsidP="0081539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</w:tcPr>
          <w:p w14:paraId="3949691C" w14:textId="3E4D8E5A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11437,27</w:t>
            </w:r>
          </w:p>
        </w:tc>
        <w:tc>
          <w:tcPr>
            <w:tcW w:w="475" w:type="pct"/>
          </w:tcPr>
          <w:p w14:paraId="505238BA" w14:textId="7B311570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12425,79</w:t>
            </w:r>
          </w:p>
        </w:tc>
        <w:tc>
          <w:tcPr>
            <w:tcW w:w="475" w:type="pct"/>
          </w:tcPr>
          <w:p w14:paraId="7D572470" w14:textId="01A9E25B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13880,65</w:t>
            </w:r>
          </w:p>
        </w:tc>
        <w:tc>
          <w:tcPr>
            <w:tcW w:w="475" w:type="pct"/>
          </w:tcPr>
          <w:p w14:paraId="131DD9F8" w14:textId="33A1F5BB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14386,17</w:t>
            </w:r>
          </w:p>
        </w:tc>
        <w:tc>
          <w:tcPr>
            <w:tcW w:w="475" w:type="pct"/>
          </w:tcPr>
          <w:p w14:paraId="7B3FCD8A" w14:textId="6E423EF7" w:rsidR="00815398" w:rsidRPr="00CE4D5A" w:rsidRDefault="00815398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7C69E8">
              <w:rPr>
                <w:sz w:val="16"/>
                <w:szCs w:val="16"/>
              </w:rPr>
              <w:t>14867,09</w:t>
            </w:r>
          </w:p>
        </w:tc>
      </w:tr>
      <w:tr w:rsidR="009C27EE" w:rsidRPr="0092451D" w14:paraId="4D3C1AF5" w14:textId="77777777" w:rsidTr="0012659D">
        <w:trPr>
          <w:trHeight w:val="45"/>
          <w:tblHeader/>
        </w:trPr>
        <w:tc>
          <w:tcPr>
            <w:tcW w:w="2132" w:type="pct"/>
            <w:vAlign w:val="bottom"/>
          </w:tcPr>
          <w:p w14:paraId="49A0744C" w14:textId="77777777" w:rsidR="009C27EE" w:rsidRPr="0092451D" w:rsidRDefault="009C27EE" w:rsidP="009C27EE">
            <w:pPr>
              <w:rPr>
                <w:bCs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493" w:type="pct"/>
          </w:tcPr>
          <w:p w14:paraId="2B9A5131" w14:textId="77777777" w:rsidR="009C27EE" w:rsidRPr="0092451D" w:rsidRDefault="009C27EE" w:rsidP="009C27E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куб. м</w:t>
            </w:r>
          </w:p>
        </w:tc>
        <w:tc>
          <w:tcPr>
            <w:tcW w:w="475" w:type="pct"/>
          </w:tcPr>
          <w:p w14:paraId="5A298683" w14:textId="37514BB6" w:rsidR="009C27EE" w:rsidRPr="009C27EE" w:rsidRDefault="009C27EE" w:rsidP="009C27EE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206,598</w:t>
            </w:r>
          </w:p>
        </w:tc>
        <w:tc>
          <w:tcPr>
            <w:tcW w:w="475" w:type="pct"/>
          </w:tcPr>
          <w:p w14:paraId="061A34E6" w14:textId="54A5F948" w:rsidR="009C27EE" w:rsidRPr="009C27EE" w:rsidRDefault="009C27EE" w:rsidP="009C27EE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206,598</w:t>
            </w:r>
          </w:p>
        </w:tc>
        <w:tc>
          <w:tcPr>
            <w:tcW w:w="475" w:type="pct"/>
          </w:tcPr>
          <w:p w14:paraId="366BFED9" w14:textId="39F5CDC2" w:rsidR="009C27EE" w:rsidRPr="009C27EE" w:rsidRDefault="009C27EE" w:rsidP="009C27EE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206,598</w:t>
            </w:r>
          </w:p>
        </w:tc>
        <w:tc>
          <w:tcPr>
            <w:tcW w:w="475" w:type="pct"/>
          </w:tcPr>
          <w:p w14:paraId="681C9383" w14:textId="20A41B3D" w:rsidR="009C27EE" w:rsidRPr="009C27EE" w:rsidRDefault="009C27EE" w:rsidP="009C27EE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206,598</w:t>
            </w:r>
          </w:p>
        </w:tc>
        <w:tc>
          <w:tcPr>
            <w:tcW w:w="475" w:type="pct"/>
          </w:tcPr>
          <w:p w14:paraId="2B53E9C6" w14:textId="1D92CF38" w:rsidR="009C27EE" w:rsidRPr="009C27EE" w:rsidRDefault="009C27EE" w:rsidP="009C27EE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206,598</w:t>
            </w:r>
          </w:p>
        </w:tc>
      </w:tr>
      <w:tr w:rsidR="00815398" w:rsidRPr="0092451D" w14:paraId="69E93AB7" w14:textId="77777777" w:rsidTr="0012659D">
        <w:trPr>
          <w:trHeight w:val="45"/>
          <w:tblHeader/>
        </w:trPr>
        <w:tc>
          <w:tcPr>
            <w:tcW w:w="2132" w:type="pct"/>
            <w:vAlign w:val="center"/>
          </w:tcPr>
          <w:p w14:paraId="15E31487" w14:textId="77777777" w:rsidR="00815398" w:rsidRPr="0092451D" w:rsidRDefault="00815398" w:rsidP="0081539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43974B9F" w14:textId="77777777" w:rsidR="00815398" w:rsidRPr="0092451D" w:rsidRDefault="00815398" w:rsidP="00815398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vAlign w:val="bottom"/>
          </w:tcPr>
          <w:p w14:paraId="1E3CDEAB" w14:textId="30752182" w:rsidR="00815398" w:rsidRPr="00CE4D5A" w:rsidRDefault="009C27EE" w:rsidP="009C27EE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2036F9AD" w14:textId="55D11717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55,36</w:t>
            </w:r>
          </w:p>
        </w:tc>
        <w:tc>
          <w:tcPr>
            <w:tcW w:w="475" w:type="pct"/>
            <w:vAlign w:val="bottom"/>
          </w:tcPr>
          <w:p w14:paraId="7815141F" w14:textId="516C21CC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64,93</w:t>
            </w:r>
          </w:p>
        </w:tc>
        <w:tc>
          <w:tcPr>
            <w:tcW w:w="475" w:type="pct"/>
            <w:vAlign w:val="bottom"/>
          </w:tcPr>
          <w:p w14:paraId="5BB1E4E4" w14:textId="00184790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69,44</w:t>
            </w:r>
          </w:p>
        </w:tc>
        <w:tc>
          <w:tcPr>
            <w:tcW w:w="475" w:type="pct"/>
            <w:vAlign w:val="bottom"/>
          </w:tcPr>
          <w:p w14:paraId="52A6F3F1" w14:textId="59797A4F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69,82</w:t>
            </w:r>
          </w:p>
        </w:tc>
      </w:tr>
      <w:tr w:rsidR="00815398" w:rsidRPr="0092451D" w14:paraId="795B6538" w14:textId="77777777" w:rsidTr="0012659D">
        <w:trPr>
          <w:trHeight w:val="45"/>
          <w:tblHeader/>
        </w:trPr>
        <w:tc>
          <w:tcPr>
            <w:tcW w:w="2132" w:type="pct"/>
            <w:vAlign w:val="center"/>
          </w:tcPr>
          <w:p w14:paraId="337E7A57" w14:textId="77777777" w:rsidR="00815398" w:rsidRPr="0092451D" w:rsidRDefault="00815398" w:rsidP="0081539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493" w:type="pct"/>
            <w:vAlign w:val="center"/>
          </w:tcPr>
          <w:p w14:paraId="162818C0" w14:textId="77777777" w:rsidR="00815398" w:rsidRPr="0092451D" w:rsidRDefault="00815398" w:rsidP="00815398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vAlign w:val="bottom"/>
          </w:tcPr>
          <w:p w14:paraId="1B4A399F" w14:textId="6A457E72" w:rsidR="00815398" w:rsidRPr="00CE4D5A" w:rsidRDefault="009C27EE" w:rsidP="0081539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55,36</w:t>
            </w:r>
          </w:p>
        </w:tc>
        <w:tc>
          <w:tcPr>
            <w:tcW w:w="475" w:type="pct"/>
            <w:vAlign w:val="bottom"/>
          </w:tcPr>
          <w:p w14:paraId="09914143" w14:textId="6BD6E33D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64,93</w:t>
            </w:r>
          </w:p>
        </w:tc>
        <w:tc>
          <w:tcPr>
            <w:tcW w:w="475" w:type="pct"/>
            <w:vAlign w:val="bottom"/>
          </w:tcPr>
          <w:p w14:paraId="2481592B" w14:textId="030E4D5A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69,44</w:t>
            </w:r>
          </w:p>
        </w:tc>
        <w:tc>
          <w:tcPr>
            <w:tcW w:w="475" w:type="pct"/>
            <w:vAlign w:val="bottom"/>
          </w:tcPr>
          <w:p w14:paraId="11469872" w14:textId="43127944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69,82</w:t>
            </w:r>
          </w:p>
        </w:tc>
        <w:tc>
          <w:tcPr>
            <w:tcW w:w="475" w:type="pct"/>
            <w:vAlign w:val="bottom"/>
          </w:tcPr>
          <w:p w14:paraId="5C530E60" w14:textId="10A28654" w:rsidR="00815398" w:rsidRPr="009C27EE" w:rsidRDefault="009C27EE" w:rsidP="0081539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74,10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3A04122D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sz w:val="24"/>
          <w:szCs w:val="24"/>
        </w:rPr>
        <w:t>МКП «ПрофКомСервис»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7A5902" w:rsidRPr="0079758F" w14:paraId="38E5F9F0" w14:textId="77777777" w:rsidTr="005F4E90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7A5902" w:rsidRPr="0079758F" w:rsidRDefault="007A5902" w:rsidP="0012659D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7777777" w:rsidR="007A5902" w:rsidRPr="0079758F" w:rsidRDefault="007A5902" w:rsidP="0012659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77777777" w:rsidR="007A5902" w:rsidRPr="0079758F" w:rsidRDefault="007A5902" w:rsidP="0012659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7777777" w:rsidR="007A5902" w:rsidRPr="0079758F" w:rsidRDefault="007A5902" w:rsidP="0012659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82" w14:textId="77777777" w:rsidR="007A5902" w:rsidRPr="0079758F" w:rsidRDefault="007A5902" w:rsidP="0012659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439" w14:textId="77777777" w:rsidR="007A5902" w:rsidRPr="0079758F" w:rsidRDefault="007A5902" w:rsidP="0012659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A5902" w:rsidRPr="0079758F" w14:paraId="09CDAD17" w14:textId="77777777" w:rsidTr="005F4E90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7A5902" w:rsidRPr="0079758F" w:rsidRDefault="007A5902" w:rsidP="0012659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2CE120BE" w:rsidR="007A5902" w:rsidRPr="006B522C" w:rsidRDefault="005F4E90" w:rsidP="0012659D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F4E90">
              <w:rPr>
                <w:rFonts w:cs="Arial CYR"/>
                <w:sz w:val="19"/>
                <w:szCs w:val="19"/>
              </w:rPr>
              <w:t>8 888,82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7A5902" w:rsidRPr="00D933E5" w:rsidRDefault="007A5902" w:rsidP="0012659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7A5902" w:rsidRPr="00D933E5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7BB" w14:textId="77777777" w:rsidR="007A5902" w:rsidRPr="00D933E5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9B0" w14:textId="77777777" w:rsidR="007A5902" w:rsidRPr="00D933E5" w:rsidRDefault="007A5902" w:rsidP="0012659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A5902" w:rsidRPr="0079758F" w14:paraId="624BF13E" w14:textId="77777777" w:rsidTr="005F4E90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7A5902" w:rsidRPr="0079758F" w:rsidRDefault="007A5902" w:rsidP="0012659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3C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0113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7A5902" w:rsidRPr="0079758F" w14:paraId="5A1D2E4A" w14:textId="77777777" w:rsidTr="005F4E90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7A5902" w:rsidRPr="0079758F" w:rsidRDefault="007A5902" w:rsidP="0012659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0FC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2EF" w14:textId="77777777" w:rsidR="007A5902" w:rsidRPr="005942C3" w:rsidRDefault="007A5902" w:rsidP="0012659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5F4E90" w:rsidRPr="0079758F" w14:paraId="4008DF1F" w14:textId="77777777" w:rsidTr="005F4E90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5F4E90" w:rsidRPr="0079758F" w:rsidRDefault="005F4E90" w:rsidP="005F4E9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5F4E90" w:rsidRPr="0079758F" w:rsidRDefault="005F4E90" w:rsidP="005F4E9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4C8519B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1488268E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413AC46A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2495" w14:textId="7795966B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91936" w14:textId="272E599C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</w:tr>
      <w:tr w:rsidR="005F4E90" w:rsidRPr="0079758F" w14:paraId="6199FD61" w14:textId="77777777" w:rsidTr="005F4E90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5F4E90" w:rsidRPr="0079758F" w:rsidRDefault="005F4E90" w:rsidP="005F4E9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5F4E90" w:rsidRPr="0079758F" w:rsidRDefault="005F4E90" w:rsidP="005F4E9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96F" w14:textId="33512A2A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7291FA7E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6543A570" w14:textId="5501572E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A8A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67466ECB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329AB20A" w14:textId="14155BF5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D91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4F4B2E74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3B7FCAA4" w14:textId="1241FC9F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02B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0E762AD6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6F127AA0" w14:textId="66560379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938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3746F8CF" w14:textId="77777777" w:rsidR="005F4E90" w:rsidRPr="005F4E90" w:rsidRDefault="005F4E90" w:rsidP="005F4E90">
            <w:pPr>
              <w:jc w:val="center"/>
              <w:rPr>
                <w:sz w:val="19"/>
                <w:szCs w:val="19"/>
              </w:rPr>
            </w:pPr>
          </w:p>
          <w:p w14:paraId="556A144F" w14:textId="38C3F145" w:rsidR="005F4E90" w:rsidRPr="00CE4D5A" w:rsidRDefault="005F4E90" w:rsidP="005F4E90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12659D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2025 год</w:t>
            </w:r>
          </w:p>
        </w:tc>
      </w:tr>
      <w:tr w:rsidR="007A5902" w:rsidRPr="00182FB2" w14:paraId="654FAC4F" w14:textId="77777777" w:rsidTr="0012659D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12659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 xml:space="preserve">Технологические затраты электрической энергии (питьевая вода </w:t>
            </w:r>
            <w:r w:rsidRPr="00182FB2">
              <w:rPr>
                <w:sz w:val="18"/>
                <w:szCs w:val="18"/>
              </w:rPr>
              <w:lastRenderedPageBreak/>
              <w:t>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12659D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lastRenderedPageBreak/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03A99713" w:rsidR="00507FFB" w:rsidRPr="00182FB2" w:rsidRDefault="00507FFB" w:rsidP="0012659D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322,066</w:t>
            </w:r>
          </w:p>
        </w:tc>
      </w:tr>
      <w:tr w:rsidR="00507FFB" w:rsidRPr="00182FB2" w14:paraId="4E10735A" w14:textId="77777777" w:rsidTr="005468AB">
        <w:tc>
          <w:tcPr>
            <w:tcW w:w="5529" w:type="dxa"/>
            <w:vMerge/>
            <w:vAlign w:val="center"/>
          </w:tcPr>
          <w:p w14:paraId="0DD79052" w14:textId="77777777" w:rsidR="00507FFB" w:rsidRPr="00182FB2" w:rsidRDefault="00507FFB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507FFB" w:rsidRPr="00182FB2" w:rsidRDefault="00507FFB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1EF23CBA" w14:textId="75005E02" w:rsidR="00507FFB" w:rsidRPr="00182FB2" w:rsidRDefault="00507FFB" w:rsidP="00507FFB">
            <w:pPr>
              <w:jc w:val="center"/>
              <w:rPr>
                <w:color w:val="FF66FF"/>
                <w:sz w:val="18"/>
                <w:szCs w:val="18"/>
              </w:rPr>
            </w:pPr>
            <w:r w:rsidRPr="00BE4E26">
              <w:t xml:space="preserve">0,95 </w:t>
            </w:r>
          </w:p>
        </w:tc>
      </w:tr>
      <w:tr w:rsidR="00507FFB" w:rsidRPr="00182FB2" w14:paraId="6F0C71B9" w14:textId="77777777" w:rsidTr="005468AB">
        <w:tc>
          <w:tcPr>
            <w:tcW w:w="5529" w:type="dxa"/>
            <w:vMerge/>
            <w:vAlign w:val="center"/>
          </w:tcPr>
          <w:p w14:paraId="727047A5" w14:textId="77777777" w:rsidR="00507FFB" w:rsidRPr="00182FB2" w:rsidRDefault="00507FFB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7978DB" w14:textId="551B76E5" w:rsidR="00507FFB" w:rsidRPr="00182FB2" w:rsidRDefault="00507FFB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471E4366" w14:textId="2A2369F0" w:rsidR="00507FFB" w:rsidRPr="00182FB2" w:rsidRDefault="00507FFB" w:rsidP="00507FFB">
            <w:pPr>
              <w:jc w:val="center"/>
              <w:rPr>
                <w:sz w:val="18"/>
                <w:szCs w:val="18"/>
              </w:rPr>
            </w:pPr>
            <w:r w:rsidRPr="00BE4E26">
              <w:t xml:space="preserve">0,46 </w:t>
            </w:r>
          </w:p>
        </w:tc>
      </w:tr>
      <w:tr w:rsidR="007A5902" w:rsidRPr="00182FB2" w14:paraId="7DB3B87D" w14:textId="77777777" w:rsidTr="0012659D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12659D">
        <w:tc>
          <w:tcPr>
            <w:tcW w:w="5529" w:type="dxa"/>
            <w:vMerge/>
          </w:tcPr>
          <w:p w14:paraId="72B996C2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12659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66B0A557" w:rsidR="007A5902" w:rsidRPr="00EC73CE" w:rsidRDefault="007A5902" w:rsidP="007A59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>питьевой воды на 2025</w:t>
      </w:r>
      <w:r w:rsidR="003072D1">
        <w:rPr>
          <w:rFonts w:eastAsia="Calibri"/>
          <w:sz w:val="24"/>
          <w:szCs w:val="24"/>
        </w:rPr>
        <w:t>-2029</w:t>
      </w:r>
      <w:r w:rsidRPr="00EC73CE">
        <w:rPr>
          <w:rFonts w:eastAsia="Calibri"/>
          <w:sz w:val="24"/>
          <w:szCs w:val="24"/>
        </w:rPr>
        <w:t xml:space="preserve"> год</w:t>
      </w:r>
      <w:r w:rsidR="003072D1">
        <w:rPr>
          <w:rFonts w:eastAsia="Calibri"/>
          <w:sz w:val="24"/>
          <w:szCs w:val="24"/>
        </w:rPr>
        <w:t>ы</w:t>
      </w:r>
      <w:r w:rsidRPr="00EC73CE">
        <w:rPr>
          <w:rFonts w:eastAsia="Calibri"/>
          <w:sz w:val="24"/>
          <w:szCs w:val="24"/>
        </w:rPr>
        <w:t xml:space="preserve"> установлен приказом Министерства от 2</w:t>
      </w:r>
      <w:r w:rsidR="005657DE">
        <w:rPr>
          <w:rFonts w:eastAsia="Calibri"/>
          <w:sz w:val="24"/>
          <w:szCs w:val="24"/>
        </w:rPr>
        <w:t>9.07</w:t>
      </w:r>
      <w:r w:rsidRPr="00EC73CE">
        <w:rPr>
          <w:rFonts w:eastAsia="Calibri"/>
          <w:sz w:val="24"/>
          <w:szCs w:val="24"/>
        </w:rPr>
        <w:t>.202</w:t>
      </w:r>
      <w:r w:rsidR="005657DE">
        <w:rPr>
          <w:rFonts w:eastAsia="Calibri"/>
          <w:sz w:val="24"/>
          <w:szCs w:val="24"/>
        </w:rPr>
        <w:t>5 № </w:t>
      </w:r>
      <w:r w:rsidRPr="00EC73CE">
        <w:rPr>
          <w:rFonts w:eastAsia="Calibri"/>
          <w:sz w:val="24"/>
          <w:szCs w:val="24"/>
        </w:rPr>
        <w:t>3</w:t>
      </w:r>
      <w:r w:rsidR="005657DE">
        <w:rPr>
          <w:rFonts w:eastAsia="Calibri"/>
          <w:sz w:val="24"/>
          <w:szCs w:val="24"/>
        </w:rPr>
        <w:t>8</w:t>
      </w:r>
      <w:r w:rsidRPr="00EC73CE">
        <w:rPr>
          <w:rFonts w:eastAsia="Calibri"/>
          <w:sz w:val="24"/>
          <w:szCs w:val="24"/>
        </w:rPr>
        <w:t>-п в размере 1</w:t>
      </w:r>
      <w:r w:rsidR="005657DE">
        <w:rPr>
          <w:rFonts w:eastAsia="Calibri"/>
          <w:sz w:val="24"/>
          <w:szCs w:val="24"/>
        </w:rPr>
        <w:t>4,01</w:t>
      </w:r>
      <w:r w:rsidRPr="00EC73CE">
        <w:rPr>
          <w:rFonts w:eastAsia="Calibri"/>
          <w:sz w:val="24"/>
          <w:szCs w:val="24"/>
        </w:rPr>
        <w:t xml:space="preserve"> %.</w:t>
      </w:r>
    </w:p>
    <w:p w14:paraId="77FB0AFE" w14:textId="77777777" w:rsidR="007A5902" w:rsidRPr="00D55E69" w:rsidRDefault="007A5902" w:rsidP="007A590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7A5902" w:rsidRPr="00182FB2" w14:paraId="1454AA3D" w14:textId="77777777" w:rsidTr="0012659D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A37D" w14:textId="77777777" w:rsidR="007A5902" w:rsidRPr="00182FB2" w:rsidRDefault="007A5902" w:rsidP="0012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DDF0" w14:textId="77777777" w:rsidR="007A5902" w:rsidRPr="00182FB2" w:rsidRDefault="007A5902" w:rsidP="0012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67A" w14:textId="77777777" w:rsidR="007A5902" w:rsidRPr="00182FB2" w:rsidRDefault="007A5902" w:rsidP="0012659D">
            <w:pPr>
              <w:ind w:left="-84" w:right="-80"/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931" w14:textId="77777777" w:rsidR="007A5902" w:rsidRPr="00182FB2" w:rsidRDefault="007A5902" w:rsidP="0012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Факт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299" w14:textId="77777777" w:rsidR="007A5902" w:rsidRPr="00182FB2" w:rsidRDefault="007A5902" w:rsidP="0012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План 2025-2029 гг. (по каждому году)</w:t>
            </w:r>
          </w:p>
        </w:tc>
      </w:tr>
      <w:tr w:rsidR="007A5902" w:rsidRPr="00182FB2" w14:paraId="6E8DD8A9" w14:textId="77777777" w:rsidTr="0012659D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918C" w14:textId="77777777" w:rsidR="007A5902" w:rsidRPr="00182FB2" w:rsidRDefault="007A5902" w:rsidP="0012659D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361DA" w14:textId="77777777" w:rsidR="007A5902" w:rsidRPr="00182FB2" w:rsidRDefault="007A5902" w:rsidP="0012659D">
            <w:pPr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Надежность и бесперебойность водоснабжения</w:t>
            </w:r>
          </w:p>
        </w:tc>
      </w:tr>
      <w:tr w:rsidR="007A5902" w:rsidRPr="00182FB2" w14:paraId="2181140C" w14:textId="77777777" w:rsidTr="0012659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BDF6" w14:textId="77777777" w:rsidR="007A5902" w:rsidRPr="00182FB2" w:rsidRDefault="007A5902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55DD" w14:textId="77777777" w:rsidR="007A5902" w:rsidRPr="00182FB2" w:rsidRDefault="007A5902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F4C5" w14:textId="77777777" w:rsidR="007A5902" w:rsidRPr="00182FB2" w:rsidRDefault="007A5902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293" w14:textId="3B73E81E" w:rsidR="007A5902" w:rsidRPr="00182FB2" w:rsidRDefault="00A4010D" w:rsidP="0012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48A7" w14:textId="5D181839" w:rsidR="007A5902" w:rsidRPr="00182FB2" w:rsidRDefault="005657DE" w:rsidP="00565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7A5902" w:rsidRPr="00182FB2" w14:paraId="51AC9F41" w14:textId="77777777" w:rsidTr="0012659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E10E" w14:textId="77777777" w:rsidR="007A5902" w:rsidRPr="00182FB2" w:rsidRDefault="007A5902" w:rsidP="0012659D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8C7FB" w14:textId="77777777" w:rsidR="007A5902" w:rsidRPr="00182FB2" w:rsidRDefault="007A5902" w:rsidP="0012659D">
            <w:pPr>
              <w:ind w:left="-109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Качество питьевой воды</w:t>
            </w:r>
          </w:p>
        </w:tc>
      </w:tr>
      <w:tr w:rsidR="007A5902" w:rsidRPr="00182FB2" w14:paraId="064B0B77" w14:textId="77777777" w:rsidTr="0012659D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DDB" w14:textId="77777777" w:rsidR="007A5902" w:rsidRPr="00182FB2" w:rsidRDefault="007A5902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6452" w14:textId="77777777" w:rsidR="007A5902" w:rsidRPr="00182FB2" w:rsidRDefault="007A5902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57A3" w14:textId="77777777" w:rsidR="007A5902" w:rsidRPr="00182FB2" w:rsidRDefault="007A5902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463" w14:textId="77777777" w:rsidR="007A5902" w:rsidRPr="00182FB2" w:rsidRDefault="007A5902" w:rsidP="0012659D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CEFA" w14:textId="77777777" w:rsidR="007A5902" w:rsidRPr="00182FB2" w:rsidRDefault="007A5902" w:rsidP="0012659D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7A5902" w:rsidRPr="00182FB2" w14:paraId="13F3A6AF" w14:textId="77777777" w:rsidTr="0012659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8204" w14:textId="77777777" w:rsidR="007A5902" w:rsidRPr="00182FB2" w:rsidRDefault="007A5902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9F8642" w14:textId="77777777" w:rsidR="007A5902" w:rsidRPr="00182FB2" w:rsidRDefault="007A5902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4B4C" w14:textId="77777777" w:rsidR="007A5902" w:rsidRPr="00182FB2" w:rsidRDefault="007A5902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ABA" w14:textId="77777777" w:rsidR="007A5902" w:rsidRPr="00182FB2" w:rsidRDefault="007A5902" w:rsidP="0012659D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FC6C" w14:textId="77777777" w:rsidR="007A5902" w:rsidRPr="00182FB2" w:rsidRDefault="007A5902" w:rsidP="0012659D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7A5902" w:rsidRPr="00182FB2" w14:paraId="501C9C9F" w14:textId="77777777" w:rsidTr="0012659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4D30" w14:textId="77777777" w:rsidR="007A5902" w:rsidRPr="00182FB2" w:rsidRDefault="007A5902" w:rsidP="0012659D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3D419" w14:textId="77777777" w:rsidR="007A5902" w:rsidRPr="00182FB2" w:rsidRDefault="007A5902" w:rsidP="0012659D">
            <w:pPr>
              <w:ind w:left="-109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Энергетическая эффективность</w:t>
            </w:r>
          </w:p>
        </w:tc>
      </w:tr>
      <w:tr w:rsidR="007A5902" w:rsidRPr="00182FB2" w14:paraId="6BB36AE0" w14:textId="77777777" w:rsidTr="0012659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BEC" w14:textId="77777777" w:rsidR="007A5902" w:rsidRPr="00182FB2" w:rsidRDefault="007A5902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569B" w14:textId="77777777" w:rsidR="007A5902" w:rsidRPr="00182FB2" w:rsidRDefault="007A5902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6B7A" w14:textId="77777777" w:rsidR="007A5902" w:rsidRPr="00182FB2" w:rsidRDefault="007A5902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E1C4" w14:textId="6AE2C8A2" w:rsidR="007A5902" w:rsidRPr="00182FB2" w:rsidRDefault="00A4010D" w:rsidP="0012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E9C0" w14:textId="102034EB" w:rsidR="007A5902" w:rsidRPr="00182FB2" w:rsidRDefault="007A5902" w:rsidP="005657DE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1</w:t>
            </w:r>
            <w:r w:rsidR="005657DE">
              <w:rPr>
                <w:sz w:val="16"/>
                <w:szCs w:val="16"/>
              </w:rPr>
              <w:t>4,01</w:t>
            </w:r>
          </w:p>
        </w:tc>
      </w:tr>
      <w:tr w:rsidR="00A4010D" w:rsidRPr="00182FB2" w14:paraId="70E82AE1" w14:textId="77777777" w:rsidTr="009A21CD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0497" w14:textId="77777777" w:rsidR="00A4010D" w:rsidRPr="00182FB2" w:rsidRDefault="00A4010D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750060" w14:textId="77777777" w:rsidR="00A4010D" w:rsidRPr="00182FB2" w:rsidRDefault="00A4010D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55D2" w14:textId="77777777" w:rsidR="00A4010D" w:rsidRPr="00182FB2" w:rsidRDefault="00A4010D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4FEFA" w14:textId="72ACA4CC" w:rsidR="00A4010D" w:rsidRPr="00182FB2" w:rsidRDefault="00A4010D" w:rsidP="0012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6A4AC" w14:textId="39A98EC0" w:rsidR="00A4010D" w:rsidRPr="00182FB2" w:rsidRDefault="00A4010D" w:rsidP="005657DE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95</w:t>
            </w:r>
          </w:p>
        </w:tc>
      </w:tr>
      <w:tr w:rsidR="00A4010D" w:rsidRPr="00182FB2" w14:paraId="1BEC00E4" w14:textId="77777777" w:rsidTr="009A21CD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61F" w14:textId="77777777" w:rsidR="00A4010D" w:rsidRPr="00182FB2" w:rsidRDefault="00A4010D" w:rsidP="0012659D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0BCAD1" w14:textId="77777777" w:rsidR="00A4010D" w:rsidRPr="00182FB2" w:rsidRDefault="00A4010D" w:rsidP="0012659D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9FAC" w14:textId="77777777" w:rsidR="00A4010D" w:rsidRPr="00182FB2" w:rsidRDefault="00A4010D" w:rsidP="0012659D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AF7" w14:textId="7B570193" w:rsidR="00A4010D" w:rsidRPr="00182FB2" w:rsidRDefault="00A4010D" w:rsidP="0012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6BA1" w14:textId="563C2CAC" w:rsidR="00A4010D" w:rsidRPr="00182FB2" w:rsidRDefault="00A4010D" w:rsidP="0012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0,46</w:t>
            </w:r>
          </w:p>
        </w:tc>
      </w:tr>
    </w:tbl>
    <w:p w14:paraId="47EAF8FA" w14:textId="12EAE50A" w:rsidR="007A5902" w:rsidRDefault="007A5902" w:rsidP="007A590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>
        <w:rPr>
          <w:sz w:val="24"/>
          <w:szCs w:val="24"/>
        </w:rPr>
        <w:t>МКП «ПрофКомСервис»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1C5E79F8" w14:textId="5303D9CE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>
        <w:rPr>
          <w:sz w:val="24"/>
          <w:szCs w:val="24"/>
        </w:rPr>
        <w:t>МКП «ПрофКомСервис» на 2025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p w14:paraId="55C78462" w14:textId="0CB4934B" w:rsidR="00CE4D5A" w:rsidRDefault="00CE4D5A" w:rsidP="007A5902">
      <w:pPr>
        <w:ind w:firstLine="680"/>
        <w:jc w:val="both"/>
        <w:rPr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81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CE4D5A" w:rsidRPr="00ED60C8" w14:paraId="159D17D8" w14:textId="77777777" w:rsidTr="0012659D">
        <w:trPr>
          <w:trHeight w:val="563"/>
          <w:tblHeader/>
        </w:trPr>
        <w:tc>
          <w:tcPr>
            <w:tcW w:w="2410" w:type="dxa"/>
            <w:vAlign w:val="center"/>
          </w:tcPr>
          <w:p w14:paraId="5F0B5FD9" w14:textId="77777777" w:rsidR="00CE4D5A" w:rsidRPr="00ED60C8" w:rsidRDefault="00CE4D5A" w:rsidP="0012659D">
            <w:pPr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ED60C8">
              <w:rPr>
                <w:sz w:val="18"/>
                <w:szCs w:val="18"/>
              </w:rPr>
              <w:t>/Период</w:t>
            </w:r>
          </w:p>
        </w:tc>
        <w:tc>
          <w:tcPr>
            <w:tcW w:w="881" w:type="dxa"/>
          </w:tcPr>
          <w:p w14:paraId="5268F65A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.2025 по 31.12.2025</w:t>
            </w:r>
          </w:p>
        </w:tc>
        <w:tc>
          <w:tcPr>
            <w:tcW w:w="875" w:type="dxa"/>
          </w:tcPr>
          <w:p w14:paraId="1FBFB177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01.01.2026 по 30.06.2026</w:t>
            </w:r>
          </w:p>
        </w:tc>
        <w:tc>
          <w:tcPr>
            <w:tcW w:w="878" w:type="dxa"/>
          </w:tcPr>
          <w:p w14:paraId="1807E2BF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01.07.2026 по 31.12.2026</w:t>
            </w:r>
          </w:p>
        </w:tc>
        <w:tc>
          <w:tcPr>
            <w:tcW w:w="881" w:type="dxa"/>
          </w:tcPr>
          <w:p w14:paraId="01927BED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BA8F1F6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4B57536B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70280835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4ACFDF60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23B9451C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A4010D" w:rsidRPr="00ED60C8" w14:paraId="4CE7C2C3" w14:textId="77777777" w:rsidTr="008569FD">
        <w:trPr>
          <w:trHeight w:val="563"/>
        </w:trPr>
        <w:tc>
          <w:tcPr>
            <w:tcW w:w="2410" w:type="dxa"/>
            <w:vAlign w:val="center"/>
          </w:tcPr>
          <w:p w14:paraId="46A876AF" w14:textId="77777777" w:rsidR="00A4010D" w:rsidRPr="00ED60C8" w:rsidRDefault="00A4010D" w:rsidP="00A4010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ED60C8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ED60C8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ED60C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vAlign w:val="bottom"/>
          </w:tcPr>
          <w:p w14:paraId="47DE00C6" w14:textId="673FF5C1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5" w:type="dxa"/>
            <w:vAlign w:val="bottom"/>
          </w:tcPr>
          <w:p w14:paraId="2AD086AB" w14:textId="1BC3D0C5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8" w:type="dxa"/>
            <w:vAlign w:val="bottom"/>
          </w:tcPr>
          <w:p w14:paraId="1CCB26B0" w14:textId="422CDF5F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 64,93</w:t>
            </w:r>
            <w:r w:rsidRPr="00E53E62">
              <w:t xml:space="preserve">   </w:t>
            </w:r>
          </w:p>
        </w:tc>
        <w:tc>
          <w:tcPr>
            <w:tcW w:w="881" w:type="dxa"/>
            <w:vAlign w:val="bottom"/>
          </w:tcPr>
          <w:p w14:paraId="3897FC3D" w14:textId="4E821621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E53E62">
              <w:t xml:space="preserve"> 64,</w:t>
            </w:r>
            <w:r>
              <w:t>93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39B482E2" w14:textId="6F97C8ED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69,4</w:t>
            </w:r>
            <w:r>
              <w:t>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5D0DDFF5" w14:textId="2D041D3E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69,44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78559B42" w14:textId="11E291CB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07322A57" w14:textId="3BFFCA0D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2A8F0CB8" w14:textId="5EF71C21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74,10</w:t>
            </w:r>
            <w:r w:rsidRPr="00E53E62">
              <w:t xml:space="preserve"> 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5F761FE" w14:textId="2A134F47" w:rsidR="007A5902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A4010D" w:rsidRPr="00A4010D">
        <w:rPr>
          <w:bCs/>
          <w:iCs/>
          <w:sz w:val="24"/>
          <w:szCs w:val="24"/>
        </w:rPr>
        <w:t>05</w:t>
      </w:r>
      <w:r w:rsidRPr="00A4010D">
        <w:rPr>
          <w:bCs/>
          <w:iCs/>
          <w:sz w:val="24"/>
          <w:szCs w:val="24"/>
        </w:rPr>
        <w:t>.0</w:t>
      </w:r>
      <w:r w:rsidR="00A4010D" w:rsidRPr="00A4010D">
        <w:rPr>
          <w:bCs/>
          <w:iCs/>
          <w:sz w:val="24"/>
          <w:szCs w:val="24"/>
        </w:rPr>
        <w:t>8</w:t>
      </w:r>
      <w:r w:rsidRPr="00A4010D">
        <w:rPr>
          <w:bCs/>
          <w:iCs/>
          <w:sz w:val="24"/>
          <w:szCs w:val="24"/>
        </w:rPr>
        <w:t>.2025 № ЕД/</w:t>
      </w:r>
      <w:r w:rsidR="00A4010D" w:rsidRPr="00A4010D">
        <w:rPr>
          <w:bCs/>
          <w:iCs/>
          <w:sz w:val="24"/>
          <w:szCs w:val="24"/>
        </w:rPr>
        <w:t>3623</w:t>
      </w:r>
      <w:r w:rsidRPr="00A4010D">
        <w:rPr>
          <w:bCs/>
          <w:iCs/>
          <w:sz w:val="24"/>
          <w:szCs w:val="24"/>
        </w:rPr>
        <w:t xml:space="preserve">/25,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7E76EDDD" w14:textId="77777777" w:rsidR="007A5902" w:rsidRPr="0037601B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«ПрофКомСервис»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57F7F95A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для </w:t>
      </w:r>
      <w:r>
        <w:rPr>
          <w:sz w:val="24"/>
          <w:szCs w:val="24"/>
        </w:rPr>
        <w:t>МКП «ПрофКомСервис»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CF7BC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г. Спасска Спасского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2025-2029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7A5902" w:rsidRPr="00A4010D" w14:paraId="57A96A19" w14:textId="77777777" w:rsidTr="00A4010D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27C7" w14:textId="77777777" w:rsidR="007A5902" w:rsidRPr="00A4010D" w:rsidRDefault="007A5902" w:rsidP="0012659D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DCC" w14:textId="77777777" w:rsidR="007A5902" w:rsidRPr="00A4010D" w:rsidRDefault="007A5902" w:rsidP="0012659D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2025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D983" w14:textId="77777777" w:rsidR="007A5902" w:rsidRPr="00A4010D" w:rsidRDefault="007A5902" w:rsidP="0012659D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0E9" w14:textId="77777777" w:rsidR="007A5902" w:rsidRPr="00A4010D" w:rsidRDefault="007A5902" w:rsidP="0012659D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12F" w14:textId="77777777" w:rsidR="007A5902" w:rsidRPr="00A4010D" w:rsidRDefault="007A5902" w:rsidP="0012659D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E955" w14:textId="77777777" w:rsidR="007A5902" w:rsidRPr="00A4010D" w:rsidRDefault="007A5902" w:rsidP="0012659D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</w:tr>
      <w:tr w:rsidR="00A4010D" w:rsidRPr="00A4010D" w14:paraId="21A292B0" w14:textId="77777777" w:rsidTr="00A4010D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F01" w14:textId="77777777" w:rsidR="00A4010D" w:rsidRPr="00A4010D" w:rsidRDefault="00A4010D" w:rsidP="00A4010D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FEBF" w14:textId="5C34333C" w:rsidR="00A4010D" w:rsidRPr="00A4010D" w:rsidRDefault="00A4010D" w:rsidP="00A4010D">
            <w:pPr>
              <w:jc w:val="center"/>
              <w:rPr>
                <w:rFonts w:cs="Arial CYR"/>
                <w:color w:val="FF0000"/>
              </w:rPr>
            </w:pPr>
            <w:r w:rsidRPr="00A4010D">
              <w:rPr>
                <w:rFonts w:cs="Arial CYR"/>
              </w:rPr>
              <w:t>8 888,82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C6DE" w14:textId="2B034C00" w:rsidR="00A4010D" w:rsidRPr="00A4010D" w:rsidRDefault="00A4010D" w:rsidP="00A4010D">
            <w:pPr>
              <w:jc w:val="center"/>
            </w:pPr>
            <w:r w:rsidRPr="00A4010D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88D" w14:textId="3F2831A2" w:rsidR="00A4010D" w:rsidRPr="00A4010D" w:rsidRDefault="00A4010D" w:rsidP="00A4010D">
            <w:pPr>
              <w:jc w:val="center"/>
              <w:rPr>
                <w:rFonts w:cs="Arial CYR"/>
              </w:rPr>
            </w:pPr>
            <w:r w:rsidRPr="00A4010D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443" w14:textId="4A4AE60D" w:rsidR="00A4010D" w:rsidRPr="00A4010D" w:rsidRDefault="00A4010D" w:rsidP="00A4010D">
            <w:pPr>
              <w:jc w:val="center"/>
              <w:rPr>
                <w:rFonts w:cs="Arial CYR"/>
              </w:rPr>
            </w:pPr>
            <w:r w:rsidRPr="00A4010D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C6B" w14:textId="5F441701" w:rsidR="00A4010D" w:rsidRPr="00A4010D" w:rsidRDefault="00A4010D" w:rsidP="00A4010D">
            <w:pPr>
              <w:jc w:val="center"/>
              <w:rPr>
                <w:rFonts w:cs="Arial CYR"/>
              </w:rPr>
            </w:pPr>
            <w:r w:rsidRPr="00A4010D">
              <w:rPr>
                <w:rFonts w:cs="Arial CYR"/>
              </w:rPr>
              <w:t>х</w:t>
            </w:r>
          </w:p>
        </w:tc>
      </w:tr>
      <w:tr w:rsidR="00A4010D" w:rsidRPr="00A4010D" w14:paraId="2EECE277" w14:textId="77777777" w:rsidTr="00A4010D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3E27" w14:textId="77777777" w:rsidR="00A4010D" w:rsidRPr="00A4010D" w:rsidRDefault="00A4010D" w:rsidP="00A4010D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AB" w14:textId="1AAB641F" w:rsidR="00A4010D" w:rsidRPr="00A4010D" w:rsidRDefault="00A4010D" w:rsidP="00A4010D">
            <w:pPr>
              <w:jc w:val="center"/>
            </w:pPr>
            <w:r w:rsidRPr="00A4010D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965" w14:textId="1A363176" w:rsidR="00A4010D" w:rsidRPr="00A4010D" w:rsidRDefault="00A4010D" w:rsidP="00A4010D">
            <w:pPr>
              <w:jc w:val="center"/>
            </w:pPr>
            <w:r w:rsidRPr="00A4010D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727" w14:textId="210F4A9D" w:rsidR="00A4010D" w:rsidRPr="00A4010D" w:rsidRDefault="00A4010D" w:rsidP="00A4010D">
            <w:pPr>
              <w:jc w:val="center"/>
            </w:pPr>
            <w:r w:rsidRPr="00A4010D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662" w14:textId="4CF8BA38" w:rsidR="00A4010D" w:rsidRPr="00A4010D" w:rsidRDefault="00A4010D" w:rsidP="00A4010D">
            <w:pPr>
              <w:jc w:val="center"/>
            </w:pPr>
            <w:r w:rsidRPr="00A4010D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E75" w14:textId="6E735A10" w:rsidR="00A4010D" w:rsidRPr="00A4010D" w:rsidRDefault="00A4010D" w:rsidP="00A4010D">
            <w:pPr>
              <w:jc w:val="center"/>
            </w:pPr>
            <w:r w:rsidRPr="00A4010D">
              <w:t>1</w:t>
            </w:r>
          </w:p>
        </w:tc>
      </w:tr>
      <w:tr w:rsidR="00A4010D" w:rsidRPr="00A4010D" w14:paraId="6868E0F8" w14:textId="77777777" w:rsidTr="00A4010D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F67" w14:textId="77777777" w:rsidR="00A4010D" w:rsidRPr="00A4010D" w:rsidRDefault="00A4010D" w:rsidP="00A4010D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B9E5" w14:textId="411D9F94" w:rsidR="00A4010D" w:rsidRPr="00A4010D" w:rsidRDefault="00A4010D" w:rsidP="00A4010D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A1C" w14:textId="4A7B033F" w:rsidR="00A4010D" w:rsidRPr="00A4010D" w:rsidRDefault="00A4010D" w:rsidP="00A4010D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ECC" w14:textId="4A744975" w:rsidR="00A4010D" w:rsidRPr="00A4010D" w:rsidRDefault="00A4010D" w:rsidP="00A4010D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DDE" w14:textId="3DF8EB9B" w:rsidR="00A4010D" w:rsidRPr="00A4010D" w:rsidRDefault="00A4010D" w:rsidP="00A4010D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B9D" w14:textId="15D301F2" w:rsidR="00A4010D" w:rsidRPr="00A4010D" w:rsidRDefault="00A4010D" w:rsidP="00A4010D">
            <w:pPr>
              <w:jc w:val="center"/>
            </w:pPr>
            <w:r w:rsidRPr="00A4010D">
              <w:t>0</w:t>
            </w:r>
          </w:p>
        </w:tc>
      </w:tr>
      <w:tr w:rsidR="00A4010D" w:rsidRPr="00A4010D" w14:paraId="5FC6D1CC" w14:textId="77777777" w:rsidTr="00A4010D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6702" w14:textId="77777777" w:rsidR="00A4010D" w:rsidRPr="00A4010D" w:rsidRDefault="00A4010D" w:rsidP="00A4010D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70FB7431" w14:textId="77777777" w:rsidR="00A4010D" w:rsidRPr="00A4010D" w:rsidRDefault="00A4010D" w:rsidP="00A4010D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6C0A" w14:textId="6962D8B9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BFBB" w14:textId="61FEB702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4BC3" w14:textId="6BFBEE72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6815" w14:textId="43A8D5AF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CB38" w14:textId="7355CAAC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</w:tr>
      <w:tr w:rsidR="00A4010D" w:rsidRPr="00A4010D" w14:paraId="2893012D" w14:textId="77777777" w:rsidTr="00A4010D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70A0" w14:textId="77777777" w:rsidR="00A4010D" w:rsidRPr="00A4010D" w:rsidRDefault="00A4010D" w:rsidP="00A4010D">
            <w:r w:rsidRPr="00A4010D"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9CC8B15" w14:textId="77777777" w:rsidR="00A4010D" w:rsidRPr="00A4010D" w:rsidRDefault="00A4010D" w:rsidP="00A4010D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84D3" w14:textId="77777777" w:rsidR="00A4010D" w:rsidRPr="00A4010D" w:rsidRDefault="00A4010D" w:rsidP="00A4010D">
            <w:pPr>
              <w:jc w:val="center"/>
            </w:pPr>
            <w:r w:rsidRPr="00A4010D">
              <w:t>0,95</w:t>
            </w:r>
          </w:p>
          <w:p w14:paraId="48317136" w14:textId="77777777" w:rsidR="00A4010D" w:rsidRPr="00A4010D" w:rsidRDefault="00A4010D" w:rsidP="00A4010D">
            <w:pPr>
              <w:jc w:val="center"/>
            </w:pPr>
          </w:p>
          <w:p w14:paraId="702B8AAF" w14:textId="2BD1074D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86D5" w14:textId="77777777" w:rsidR="00A4010D" w:rsidRPr="00A4010D" w:rsidRDefault="00A4010D" w:rsidP="00A4010D">
            <w:pPr>
              <w:jc w:val="center"/>
            </w:pPr>
            <w:r w:rsidRPr="00A4010D">
              <w:t>0,95</w:t>
            </w:r>
          </w:p>
          <w:p w14:paraId="33A993D0" w14:textId="77777777" w:rsidR="00A4010D" w:rsidRPr="00A4010D" w:rsidRDefault="00A4010D" w:rsidP="00A4010D">
            <w:pPr>
              <w:jc w:val="center"/>
            </w:pPr>
          </w:p>
          <w:p w14:paraId="2C10A9C8" w14:textId="0B9864EA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7AE" w14:textId="77777777" w:rsidR="00A4010D" w:rsidRPr="00A4010D" w:rsidRDefault="00A4010D" w:rsidP="00A4010D">
            <w:pPr>
              <w:jc w:val="center"/>
            </w:pPr>
            <w:r w:rsidRPr="00A4010D">
              <w:t>0,95</w:t>
            </w:r>
          </w:p>
          <w:p w14:paraId="07ED7D6A" w14:textId="77777777" w:rsidR="00A4010D" w:rsidRPr="00A4010D" w:rsidRDefault="00A4010D" w:rsidP="00A4010D">
            <w:pPr>
              <w:jc w:val="center"/>
            </w:pPr>
          </w:p>
          <w:p w14:paraId="5191CFF7" w14:textId="3CF0FEC2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F0F" w14:textId="77777777" w:rsidR="00A4010D" w:rsidRPr="00A4010D" w:rsidRDefault="00A4010D" w:rsidP="00A4010D">
            <w:pPr>
              <w:jc w:val="center"/>
            </w:pPr>
            <w:r w:rsidRPr="00A4010D">
              <w:t>0,95</w:t>
            </w:r>
          </w:p>
          <w:p w14:paraId="3DE625EA" w14:textId="77777777" w:rsidR="00A4010D" w:rsidRPr="00A4010D" w:rsidRDefault="00A4010D" w:rsidP="00A4010D">
            <w:pPr>
              <w:jc w:val="center"/>
            </w:pPr>
          </w:p>
          <w:p w14:paraId="356EDF56" w14:textId="41495866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849" w14:textId="77777777" w:rsidR="00A4010D" w:rsidRPr="00A4010D" w:rsidRDefault="00A4010D" w:rsidP="00A4010D">
            <w:pPr>
              <w:jc w:val="center"/>
            </w:pPr>
            <w:r w:rsidRPr="00A4010D">
              <w:t>0,95</w:t>
            </w:r>
          </w:p>
          <w:p w14:paraId="34822583" w14:textId="77777777" w:rsidR="00A4010D" w:rsidRPr="00A4010D" w:rsidRDefault="00A4010D" w:rsidP="00A4010D">
            <w:pPr>
              <w:jc w:val="center"/>
            </w:pPr>
          </w:p>
          <w:p w14:paraId="68EB5E71" w14:textId="7FE5E6E1" w:rsidR="00A4010D" w:rsidRPr="00A4010D" w:rsidRDefault="00A4010D" w:rsidP="00A4010D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</w:tr>
    </w:tbl>
    <w:p w14:paraId="2AA0D2F2" w14:textId="77777777" w:rsidR="007A5902" w:rsidRDefault="007A5902" w:rsidP="007A5902">
      <w:pPr>
        <w:ind w:firstLine="680"/>
        <w:jc w:val="both"/>
        <w:rPr>
          <w:sz w:val="24"/>
          <w:szCs w:val="24"/>
        </w:rPr>
      </w:pPr>
    </w:p>
    <w:p w14:paraId="76C95F35" w14:textId="516E4191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611EE4">
        <w:rPr>
          <w:sz w:val="24"/>
          <w:szCs w:val="24"/>
        </w:rPr>
        <w:t>МКП «ПрофКомСервис»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г.</w:t>
      </w:r>
      <w:r w:rsidR="00611EE4">
        <w:rPr>
          <w:sz w:val="24"/>
          <w:szCs w:val="24"/>
        </w:rPr>
        <w:t> </w:t>
      </w:r>
      <w:r>
        <w:rPr>
          <w:sz w:val="24"/>
          <w:szCs w:val="24"/>
        </w:rPr>
        <w:t>Спасска Спасского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2025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81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611EE4" w:rsidRPr="00ED60C8" w14:paraId="042D4D46" w14:textId="77777777" w:rsidTr="00CE4D5A">
        <w:trPr>
          <w:trHeight w:val="563"/>
          <w:tblHeader/>
        </w:trPr>
        <w:tc>
          <w:tcPr>
            <w:tcW w:w="2410" w:type="dxa"/>
            <w:vAlign w:val="center"/>
          </w:tcPr>
          <w:p w14:paraId="26567788" w14:textId="77777777" w:rsidR="00611EE4" w:rsidRPr="00ED60C8" w:rsidRDefault="00611EE4" w:rsidP="0012659D">
            <w:pPr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ED60C8">
              <w:rPr>
                <w:sz w:val="18"/>
                <w:szCs w:val="18"/>
              </w:rPr>
              <w:t>/Период</w:t>
            </w:r>
          </w:p>
        </w:tc>
        <w:tc>
          <w:tcPr>
            <w:tcW w:w="881" w:type="dxa"/>
          </w:tcPr>
          <w:p w14:paraId="19425342" w14:textId="01C7A2CC" w:rsidR="00611EE4" w:rsidRPr="00ED60C8" w:rsidRDefault="00611EE4" w:rsidP="00CE4D5A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</w:t>
            </w:r>
            <w:r w:rsidR="00CE4D5A"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.0</w:t>
            </w:r>
            <w:r w:rsidR="00CE4D5A"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.2025 по 31.12.2025</w:t>
            </w:r>
          </w:p>
        </w:tc>
        <w:tc>
          <w:tcPr>
            <w:tcW w:w="875" w:type="dxa"/>
          </w:tcPr>
          <w:p w14:paraId="2080C233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01.01.2026 по 30.06.2026</w:t>
            </w:r>
          </w:p>
        </w:tc>
        <w:tc>
          <w:tcPr>
            <w:tcW w:w="878" w:type="dxa"/>
          </w:tcPr>
          <w:p w14:paraId="06A6F35A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01.07.2026 по 31.12.2026</w:t>
            </w:r>
          </w:p>
        </w:tc>
        <w:tc>
          <w:tcPr>
            <w:tcW w:w="881" w:type="dxa"/>
          </w:tcPr>
          <w:p w14:paraId="4DD2687C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BFF3E02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29FA87DA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0B3A87B9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5F75694C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36555F14" w14:textId="77777777" w:rsidR="00611EE4" w:rsidRPr="00ED60C8" w:rsidRDefault="00611EE4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A4010D" w:rsidRPr="00ED60C8" w14:paraId="60D4EA2D" w14:textId="77777777" w:rsidTr="00D9505B">
        <w:trPr>
          <w:trHeight w:val="563"/>
        </w:trPr>
        <w:tc>
          <w:tcPr>
            <w:tcW w:w="2410" w:type="dxa"/>
            <w:vAlign w:val="center"/>
          </w:tcPr>
          <w:p w14:paraId="58FA2316" w14:textId="77777777" w:rsidR="00A4010D" w:rsidRPr="00ED60C8" w:rsidRDefault="00A4010D" w:rsidP="00A4010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ED60C8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ED60C8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ED60C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vAlign w:val="bottom"/>
          </w:tcPr>
          <w:p w14:paraId="7C4017FA" w14:textId="67D281CA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5" w:type="dxa"/>
            <w:vAlign w:val="bottom"/>
          </w:tcPr>
          <w:p w14:paraId="41E4CAAE" w14:textId="11CA1C98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8" w:type="dxa"/>
            <w:vAlign w:val="bottom"/>
          </w:tcPr>
          <w:p w14:paraId="01404E9B" w14:textId="11B7B083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 64,93</w:t>
            </w:r>
            <w:r w:rsidRPr="00E53E62">
              <w:t xml:space="preserve">   </w:t>
            </w:r>
          </w:p>
        </w:tc>
        <w:tc>
          <w:tcPr>
            <w:tcW w:w="881" w:type="dxa"/>
            <w:vAlign w:val="bottom"/>
          </w:tcPr>
          <w:p w14:paraId="1B14382C" w14:textId="4EFB5B65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E53E62">
              <w:t xml:space="preserve"> 64,</w:t>
            </w:r>
            <w:r>
              <w:t>93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71BBBBBC" w14:textId="1BEE0850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69,4</w:t>
            </w:r>
            <w:r>
              <w:t>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4A1E1923" w14:textId="15C197A4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69,44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7FB74348" w14:textId="3EE3395B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349D0CC1" w14:textId="2E1C3C8A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07FF1BA9" w14:textId="0C4B43DE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74,10</w:t>
            </w:r>
            <w:r w:rsidRPr="00E53E62">
              <w:t xml:space="preserve"> </w:t>
            </w:r>
          </w:p>
        </w:tc>
      </w:tr>
    </w:tbl>
    <w:p w14:paraId="63289AA2" w14:textId="77777777" w:rsidR="007A5902" w:rsidRDefault="007A5902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68FD5236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для </w:t>
      </w:r>
      <w:proofErr w:type="spellStart"/>
      <w:r w:rsidR="00611EE4" w:rsidRPr="000C3579">
        <w:rPr>
          <w:bCs/>
          <w:iCs/>
          <w:sz w:val="24"/>
          <w:szCs w:val="24"/>
        </w:rPr>
        <w:t>для</w:t>
      </w:r>
      <w:proofErr w:type="spellEnd"/>
      <w:r w:rsidR="00611EE4" w:rsidRPr="000C3579">
        <w:rPr>
          <w:bCs/>
          <w:iCs/>
          <w:sz w:val="24"/>
          <w:szCs w:val="24"/>
        </w:rPr>
        <w:t xml:space="preserve"> </w:t>
      </w:r>
      <w:r w:rsidR="00611EE4">
        <w:rPr>
          <w:sz w:val="24"/>
          <w:szCs w:val="24"/>
        </w:rPr>
        <w:t>МКП «ПрофКомСервис»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г. Спасска Спасского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2025-2029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A4010D" w:rsidRPr="00A4010D" w14:paraId="749CA9BA" w14:textId="77777777" w:rsidTr="00D90668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2545" w14:textId="77777777" w:rsidR="00A4010D" w:rsidRPr="00A4010D" w:rsidRDefault="00A4010D" w:rsidP="00D90668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05F" w14:textId="77777777" w:rsidR="00A4010D" w:rsidRPr="00A4010D" w:rsidRDefault="00A4010D" w:rsidP="00D90668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2025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D9FE" w14:textId="77777777" w:rsidR="00A4010D" w:rsidRPr="00A4010D" w:rsidRDefault="00A4010D" w:rsidP="00D9066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8EE" w14:textId="77777777" w:rsidR="00A4010D" w:rsidRPr="00A4010D" w:rsidRDefault="00A4010D" w:rsidP="00D9066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C44" w14:textId="77777777" w:rsidR="00A4010D" w:rsidRPr="00A4010D" w:rsidRDefault="00A4010D" w:rsidP="00D9066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3352" w14:textId="77777777" w:rsidR="00A4010D" w:rsidRPr="00A4010D" w:rsidRDefault="00A4010D" w:rsidP="00D9066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</w:tr>
      <w:tr w:rsidR="00A4010D" w:rsidRPr="00A4010D" w14:paraId="69024659" w14:textId="77777777" w:rsidTr="00D90668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5B6" w14:textId="77777777" w:rsidR="00A4010D" w:rsidRPr="00A4010D" w:rsidRDefault="00A4010D" w:rsidP="00D90668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6BBF" w14:textId="77777777" w:rsidR="00A4010D" w:rsidRPr="00A4010D" w:rsidRDefault="00A4010D" w:rsidP="00D90668">
            <w:pPr>
              <w:jc w:val="center"/>
              <w:rPr>
                <w:rFonts w:cs="Arial CYR"/>
                <w:color w:val="FF0000"/>
              </w:rPr>
            </w:pPr>
            <w:r w:rsidRPr="00A4010D">
              <w:rPr>
                <w:rFonts w:cs="Arial CYR"/>
              </w:rPr>
              <w:t>8 888,82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560E" w14:textId="77777777" w:rsidR="00A4010D" w:rsidRPr="00A4010D" w:rsidRDefault="00A4010D" w:rsidP="00D90668">
            <w:pPr>
              <w:jc w:val="center"/>
            </w:pPr>
            <w:r w:rsidRPr="00A4010D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E7F" w14:textId="77777777" w:rsidR="00A4010D" w:rsidRPr="00A4010D" w:rsidRDefault="00A4010D" w:rsidP="00D90668">
            <w:pPr>
              <w:jc w:val="center"/>
              <w:rPr>
                <w:rFonts w:cs="Arial CYR"/>
              </w:rPr>
            </w:pPr>
            <w:r w:rsidRPr="00A4010D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595" w14:textId="77777777" w:rsidR="00A4010D" w:rsidRPr="00A4010D" w:rsidRDefault="00A4010D" w:rsidP="00D90668">
            <w:pPr>
              <w:jc w:val="center"/>
              <w:rPr>
                <w:rFonts w:cs="Arial CYR"/>
              </w:rPr>
            </w:pPr>
            <w:r w:rsidRPr="00A4010D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2EDB" w14:textId="77777777" w:rsidR="00A4010D" w:rsidRPr="00A4010D" w:rsidRDefault="00A4010D" w:rsidP="00D90668">
            <w:pPr>
              <w:jc w:val="center"/>
              <w:rPr>
                <w:rFonts w:cs="Arial CYR"/>
              </w:rPr>
            </w:pPr>
            <w:r w:rsidRPr="00A4010D">
              <w:rPr>
                <w:rFonts w:cs="Arial CYR"/>
              </w:rPr>
              <w:t>х</w:t>
            </w:r>
          </w:p>
        </w:tc>
      </w:tr>
      <w:tr w:rsidR="00A4010D" w:rsidRPr="00A4010D" w14:paraId="6315CB88" w14:textId="77777777" w:rsidTr="00D90668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A66A" w14:textId="77777777" w:rsidR="00A4010D" w:rsidRPr="00A4010D" w:rsidRDefault="00A4010D" w:rsidP="00D90668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016E" w14:textId="77777777" w:rsidR="00A4010D" w:rsidRPr="00A4010D" w:rsidRDefault="00A4010D" w:rsidP="00D90668">
            <w:pPr>
              <w:jc w:val="center"/>
            </w:pPr>
            <w:r w:rsidRPr="00A4010D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B965" w14:textId="77777777" w:rsidR="00A4010D" w:rsidRPr="00A4010D" w:rsidRDefault="00A4010D" w:rsidP="00D90668">
            <w:pPr>
              <w:jc w:val="center"/>
            </w:pPr>
            <w:r w:rsidRPr="00A4010D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8C3" w14:textId="77777777" w:rsidR="00A4010D" w:rsidRPr="00A4010D" w:rsidRDefault="00A4010D" w:rsidP="00D90668">
            <w:pPr>
              <w:jc w:val="center"/>
            </w:pPr>
            <w:r w:rsidRPr="00A4010D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F35" w14:textId="77777777" w:rsidR="00A4010D" w:rsidRPr="00A4010D" w:rsidRDefault="00A4010D" w:rsidP="00D90668">
            <w:pPr>
              <w:jc w:val="center"/>
            </w:pPr>
            <w:r w:rsidRPr="00A4010D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7373" w14:textId="77777777" w:rsidR="00A4010D" w:rsidRPr="00A4010D" w:rsidRDefault="00A4010D" w:rsidP="00D90668">
            <w:pPr>
              <w:jc w:val="center"/>
            </w:pPr>
            <w:r w:rsidRPr="00A4010D">
              <w:t>1</w:t>
            </w:r>
          </w:p>
        </w:tc>
      </w:tr>
      <w:tr w:rsidR="00A4010D" w:rsidRPr="00A4010D" w14:paraId="7CDA05E5" w14:textId="77777777" w:rsidTr="00D90668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088E" w14:textId="77777777" w:rsidR="00A4010D" w:rsidRPr="00A4010D" w:rsidRDefault="00A4010D" w:rsidP="00D90668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1BDC" w14:textId="77777777" w:rsidR="00A4010D" w:rsidRPr="00A4010D" w:rsidRDefault="00A4010D" w:rsidP="00D90668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C75" w14:textId="77777777" w:rsidR="00A4010D" w:rsidRPr="00A4010D" w:rsidRDefault="00A4010D" w:rsidP="00D90668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D90" w14:textId="77777777" w:rsidR="00A4010D" w:rsidRPr="00A4010D" w:rsidRDefault="00A4010D" w:rsidP="00D90668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49C" w14:textId="77777777" w:rsidR="00A4010D" w:rsidRPr="00A4010D" w:rsidRDefault="00A4010D" w:rsidP="00D90668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D077" w14:textId="77777777" w:rsidR="00A4010D" w:rsidRPr="00A4010D" w:rsidRDefault="00A4010D" w:rsidP="00D90668">
            <w:pPr>
              <w:jc w:val="center"/>
            </w:pPr>
            <w:r w:rsidRPr="00A4010D">
              <w:t>0</w:t>
            </w:r>
          </w:p>
        </w:tc>
      </w:tr>
      <w:tr w:rsidR="00A4010D" w:rsidRPr="00A4010D" w14:paraId="11F9774F" w14:textId="77777777" w:rsidTr="00D90668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29E3" w14:textId="77777777" w:rsidR="00A4010D" w:rsidRPr="00A4010D" w:rsidRDefault="00A4010D" w:rsidP="00D9066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3A50C182" w14:textId="77777777" w:rsidR="00A4010D" w:rsidRPr="00A4010D" w:rsidRDefault="00A4010D" w:rsidP="00D9066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C5C1D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8DBE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7741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F285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BC675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14,01</w:t>
            </w:r>
          </w:p>
        </w:tc>
      </w:tr>
      <w:tr w:rsidR="00A4010D" w:rsidRPr="00A4010D" w14:paraId="27672632" w14:textId="77777777" w:rsidTr="00D90668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CE78" w14:textId="77777777" w:rsidR="00A4010D" w:rsidRPr="00A4010D" w:rsidRDefault="00A4010D" w:rsidP="00D9066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B9790FC" w14:textId="77777777" w:rsidR="00A4010D" w:rsidRPr="00A4010D" w:rsidRDefault="00A4010D" w:rsidP="00D9066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0A5" w14:textId="77777777" w:rsidR="00A4010D" w:rsidRPr="00A4010D" w:rsidRDefault="00A4010D" w:rsidP="00D90668">
            <w:pPr>
              <w:jc w:val="center"/>
            </w:pPr>
            <w:r w:rsidRPr="00A4010D">
              <w:t>0,95</w:t>
            </w:r>
          </w:p>
          <w:p w14:paraId="0D3416A0" w14:textId="77777777" w:rsidR="00A4010D" w:rsidRPr="00A4010D" w:rsidRDefault="00A4010D" w:rsidP="00D90668">
            <w:pPr>
              <w:jc w:val="center"/>
            </w:pPr>
          </w:p>
          <w:p w14:paraId="2254B532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411" w14:textId="77777777" w:rsidR="00A4010D" w:rsidRPr="00A4010D" w:rsidRDefault="00A4010D" w:rsidP="00D90668">
            <w:pPr>
              <w:jc w:val="center"/>
            </w:pPr>
            <w:r w:rsidRPr="00A4010D">
              <w:t>0,95</w:t>
            </w:r>
          </w:p>
          <w:p w14:paraId="7A1AECCA" w14:textId="77777777" w:rsidR="00A4010D" w:rsidRPr="00A4010D" w:rsidRDefault="00A4010D" w:rsidP="00D90668">
            <w:pPr>
              <w:jc w:val="center"/>
            </w:pPr>
          </w:p>
          <w:p w14:paraId="75FAFF8F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CA8" w14:textId="77777777" w:rsidR="00A4010D" w:rsidRPr="00A4010D" w:rsidRDefault="00A4010D" w:rsidP="00D90668">
            <w:pPr>
              <w:jc w:val="center"/>
            </w:pPr>
            <w:r w:rsidRPr="00A4010D">
              <w:t>0,95</w:t>
            </w:r>
          </w:p>
          <w:p w14:paraId="43915EAD" w14:textId="77777777" w:rsidR="00A4010D" w:rsidRPr="00A4010D" w:rsidRDefault="00A4010D" w:rsidP="00D90668">
            <w:pPr>
              <w:jc w:val="center"/>
            </w:pPr>
          </w:p>
          <w:p w14:paraId="3AE9DDED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716" w14:textId="77777777" w:rsidR="00A4010D" w:rsidRPr="00A4010D" w:rsidRDefault="00A4010D" w:rsidP="00D90668">
            <w:pPr>
              <w:jc w:val="center"/>
            </w:pPr>
            <w:r w:rsidRPr="00A4010D">
              <w:t>0,95</w:t>
            </w:r>
          </w:p>
          <w:p w14:paraId="765DD699" w14:textId="77777777" w:rsidR="00A4010D" w:rsidRPr="00A4010D" w:rsidRDefault="00A4010D" w:rsidP="00D90668">
            <w:pPr>
              <w:jc w:val="center"/>
            </w:pPr>
          </w:p>
          <w:p w14:paraId="08FEA319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EC5" w14:textId="77777777" w:rsidR="00A4010D" w:rsidRPr="00A4010D" w:rsidRDefault="00A4010D" w:rsidP="00D90668">
            <w:pPr>
              <w:jc w:val="center"/>
            </w:pPr>
            <w:r w:rsidRPr="00A4010D">
              <w:t>0,95</w:t>
            </w:r>
          </w:p>
          <w:p w14:paraId="0AAEB73F" w14:textId="77777777" w:rsidR="00A4010D" w:rsidRPr="00A4010D" w:rsidRDefault="00A4010D" w:rsidP="00D90668">
            <w:pPr>
              <w:jc w:val="center"/>
            </w:pPr>
          </w:p>
          <w:p w14:paraId="6BB8B0E5" w14:textId="77777777" w:rsidR="00A4010D" w:rsidRPr="00A4010D" w:rsidRDefault="00A4010D" w:rsidP="00D90668">
            <w:pPr>
              <w:jc w:val="center"/>
              <w:rPr>
                <w:color w:val="FF0000"/>
              </w:rPr>
            </w:pPr>
            <w:r w:rsidRPr="00A4010D">
              <w:t>0,46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2DCCB6BC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611EE4">
        <w:rPr>
          <w:sz w:val="24"/>
          <w:szCs w:val="24"/>
        </w:rPr>
        <w:t>МКП «ПрофКомСервис»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sz w:val="24"/>
          <w:szCs w:val="24"/>
        </w:rPr>
        <w:t>г. Спасска Спасского района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2025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p w14:paraId="49012B41" w14:textId="77777777" w:rsidR="007A5902" w:rsidRDefault="007A5902" w:rsidP="00BB2C91">
      <w:pPr>
        <w:ind w:firstLine="709"/>
        <w:jc w:val="both"/>
        <w:rPr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81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CE4D5A" w:rsidRPr="00ED60C8" w14:paraId="77B0869B" w14:textId="77777777" w:rsidTr="0012659D">
        <w:trPr>
          <w:trHeight w:val="563"/>
          <w:tblHeader/>
        </w:trPr>
        <w:tc>
          <w:tcPr>
            <w:tcW w:w="2410" w:type="dxa"/>
            <w:vAlign w:val="center"/>
          </w:tcPr>
          <w:p w14:paraId="33D9EA59" w14:textId="77777777" w:rsidR="00CE4D5A" w:rsidRPr="00ED60C8" w:rsidRDefault="00CE4D5A" w:rsidP="0012659D">
            <w:pPr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ED60C8">
              <w:rPr>
                <w:sz w:val="18"/>
                <w:szCs w:val="18"/>
              </w:rPr>
              <w:t>/Период</w:t>
            </w:r>
          </w:p>
        </w:tc>
        <w:tc>
          <w:tcPr>
            <w:tcW w:w="881" w:type="dxa"/>
          </w:tcPr>
          <w:p w14:paraId="4A003A90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>.2025 по 31.12.2025</w:t>
            </w:r>
          </w:p>
        </w:tc>
        <w:tc>
          <w:tcPr>
            <w:tcW w:w="875" w:type="dxa"/>
          </w:tcPr>
          <w:p w14:paraId="05D3852D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01.01.2026 по 30.06.2026</w:t>
            </w:r>
          </w:p>
        </w:tc>
        <w:tc>
          <w:tcPr>
            <w:tcW w:w="878" w:type="dxa"/>
          </w:tcPr>
          <w:p w14:paraId="1EA8C12D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01.07.2026 по 31.12.2026</w:t>
            </w:r>
          </w:p>
        </w:tc>
        <w:tc>
          <w:tcPr>
            <w:tcW w:w="881" w:type="dxa"/>
          </w:tcPr>
          <w:p w14:paraId="4B07AD2B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008B31F4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707FD42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088BBFD9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8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14:paraId="744B9204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01.01.202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122D8769" w14:textId="77777777" w:rsidR="00CE4D5A" w:rsidRPr="00ED60C8" w:rsidRDefault="00CE4D5A" w:rsidP="0012659D">
            <w:pPr>
              <w:ind w:left="-92" w:right="-79"/>
              <w:jc w:val="center"/>
              <w:rPr>
                <w:sz w:val="18"/>
                <w:szCs w:val="18"/>
              </w:rPr>
            </w:pPr>
            <w:r w:rsidRPr="00ED60C8">
              <w:rPr>
                <w:sz w:val="18"/>
                <w:szCs w:val="18"/>
              </w:rPr>
              <w:t>с 01.07.202</w:t>
            </w:r>
            <w:r>
              <w:rPr>
                <w:sz w:val="18"/>
                <w:szCs w:val="18"/>
              </w:rPr>
              <w:t>9</w:t>
            </w:r>
            <w:r w:rsidRPr="00ED60C8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A4010D" w:rsidRPr="00ED60C8" w14:paraId="4C2CD50B" w14:textId="77777777" w:rsidTr="00E3148B">
        <w:trPr>
          <w:trHeight w:val="563"/>
        </w:trPr>
        <w:tc>
          <w:tcPr>
            <w:tcW w:w="2410" w:type="dxa"/>
            <w:vAlign w:val="center"/>
          </w:tcPr>
          <w:p w14:paraId="4A28E2BE" w14:textId="77777777" w:rsidR="00A4010D" w:rsidRPr="00ED60C8" w:rsidRDefault="00A4010D" w:rsidP="00A4010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ED60C8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ED60C8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ED60C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vAlign w:val="bottom"/>
          </w:tcPr>
          <w:p w14:paraId="1D8F655F" w14:textId="56BF4E99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5" w:type="dxa"/>
            <w:vAlign w:val="bottom"/>
          </w:tcPr>
          <w:p w14:paraId="2130B8E4" w14:textId="04373AA6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D61FFE">
              <w:t xml:space="preserve"> 55,36   </w:t>
            </w:r>
          </w:p>
        </w:tc>
        <w:tc>
          <w:tcPr>
            <w:tcW w:w="878" w:type="dxa"/>
            <w:vAlign w:val="bottom"/>
          </w:tcPr>
          <w:p w14:paraId="6531D253" w14:textId="55D19778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 64,93</w:t>
            </w:r>
            <w:r w:rsidRPr="00E53E62">
              <w:t xml:space="preserve">   </w:t>
            </w:r>
          </w:p>
        </w:tc>
        <w:tc>
          <w:tcPr>
            <w:tcW w:w="881" w:type="dxa"/>
            <w:vAlign w:val="bottom"/>
          </w:tcPr>
          <w:p w14:paraId="435EAFA4" w14:textId="64ACB407" w:rsidR="00A4010D" w:rsidRPr="00ED60C8" w:rsidRDefault="00A4010D" w:rsidP="00A4010D">
            <w:pPr>
              <w:jc w:val="center"/>
              <w:rPr>
                <w:color w:val="FF0000"/>
                <w:sz w:val="18"/>
                <w:szCs w:val="18"/>
              </w:rPr>
            </w:pPr>
            <w:r w:rsidRPr="00E53E62">
              <w:t xml:space="preserve"> 64,</w:t>
            </w:r>
            <w:r>
              <w:t>93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2284F93A" w14:textId="50835DCA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69,4</w:t>
            </w:r>
            <w:r>
              <w:t>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6259E6F5" w14:textId="5AB1E1C7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69,44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2DFE2A62" w14:textId="752F6F7F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0AACC23A" w14:textId="37D56408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69,</w:t>
            </w:r>
            <w:r>
              <w:t>82</w:t>
            </w:r>
            <w:r w:rsidRPr="00E53E62">
              <w:t xml:space="preserve">   </w:t>
            </w:r>
          </w:p>
        </w:tc>
        <w:tc>
          <w:tcPr>
            <w:tcW w:w="855" w:type="dxa"/>
            <w:vAlign w:val="bottom"/>
          </w:tcPr>
          <w:p w14:paraId="20A3EFA2" w14:textId="106B5B5B" w:rsidR="00A4010D" w:rsidRPr="00ED60C8" w:rsidRDefault="00A4010D" w:rsidP="00A4010D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E53E62">
              <w:t xml:space="preserve"> </w:t>
            </w:r>
            <w:r>
              <w:t>74,10</w:t>
            </w:r>
            <w:r w:rsidRPr="00E53E62">
              <w:t xml:space="preserve"> </w:t>
            </w:r>
          </w:p>
        </w:tc>
      </w:tr>
    </w:tbl>
    <w:p w14:paraId="591B5614" w14:textId="68A4B7D6" w:rsidR="002F0B16" w:rsidRDefault="002F0B16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66886953" w14:textId="7C233109" w:rsidR="001B36D3" w:rsidRPr="005C6421" w:rsidRDefault="00B44E36" w:rsidP="00B44E36">
      <w:pPr>
        <w:spacing w:after="160" w:line="259" w:lineRule="auto"/>
        <w:rPr>
          <w:rFonts w:eastAsia="Calibri"/>
          <w:sz w:val="24"/>
          <w:szCs w:val="24"/>
        </w:rPr>
      </w:pPr>
      <w:r w:rsidRPr="005C6421">
        <w:rPr>
          <w:rFonts w:eastAsia="Calibri"/>
          <w:sz w:val="24"/>
          <w:szCs w:val="24"/>
        </w:rPr>
        <w:t xml:space="preserve"> </w:t>
      </w:r>
    </w:p>
    <w:p w14:paraId="1A3D9056" w14:textId="77777777" w:rsidR="001B36D3" w:rsidRPr="005C6421" w:rsidRDefault="001B36D3" w:rsidP="001B36D3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52376FFA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072D1">
      <w:rPr>
        <w:noProof/>
      </w:rPr>
      <w:t>4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938128">
    <w:abstractNumId w:val="2"/>
  </w:num>
  <w:num w:numId="2" w16cid:durableId="2142991564">
    <w:abstractNumId w:val="1"/>
  </w:num>
  <w:num w:numId="3" w16cid:durableId="925305496">
    <w:abstractNumId w:val="4"/>
  </w:num>
  <w:num w:numId="4" w16cid:durableId="1192304954">
    <w:abstractNumId w:val="5"/>
  </w:num>
  <w:num w:numId="5" w16cid:durableId="1528131510">
    <w:abstractNumId w:val="3"/>
  </w:num>
  <w:num w:numId="6" w16cid:durableId="8125267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4E36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C6ACD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82D0-5A0D-4AD2-A0F8-5A3AEB3A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5784</TotalTime>
  <Pages>5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891</cp:revision>
  <cp:lastPrinted>2025-08-08T08:38:00Z</cp:lastPrinted>
  <dcterms:created xsi:type="dcterms:W3CDTF">2022-08-12T06:23:00Z</dcterms:created>
  <dcterms:modified xsi:type="dcterms:W3CDTF">2025-08-11T14:11:00Z</dcterms:modified>
</cp:coreProperties>
</file>