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07C66310" w:rsidR="00513833" w:rsidRPr="00974283" w:rsidRDefault="00513833" w:rsidP="00513833">
      <w:pPr>
        <w:jc w:val="center"/>
        <w:rPr>
          <w:b/>
          <w:sz w:val="24"/>
          <w:szCs w:val="24"/>
        </w:rPr>
      </w:pPr>
      <w:r w:rsidRPr="00974283">
        <w:rPr>
          <w:b/>
          <w:sz w:val="24"/>
          <w:szCs w:val="24"/>
        </w:rPr>
        <w:t>Протокол №</w:t>
      </w:r>
      <w:r w:rsidR="00B35852" w:rsidRPr="00974283">
        <w:rPr>
          <w:b/>
          <w:sz w:val="24"/>
          <w:szCs w:val="24"/>
        </w:rPr>
        <w:t xml:space="preserve"> </w:t>
      </w:r>
      <w:r w:rsidR="00974283" w:rsidRPr="00974283">
        <w:rPr>
          <w:b/>
          <w:sz w:val="24"/>
          <w:szCs w:val="24"/>
        </w:rPr>
        <w:t>46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4738E992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D02791">
        <w:rPr>
          <w:b/>
          <w:sz w:val="24"/>
          <w:szCs w:val="24"/>
        </w:rPr>
        <w:t>08 августа</w:t>
      </w:r>
      <w:r w:rsidR="000D6ECD" w:rsidRPr="00047911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974283" w:rsidRDefault="00A92AA5" w:rsidP="0082672B">
            <w:pPr>
              <w:ind w:right="317"/>
              <w:rPr>
                <w:sz w:val="24"/>
                <w:szCs w:val="24"/>
              </w:rPr>
            </w:pPr>
            <w:r w:rsidRPr="00974283">
              <w:rPr>
                <w:sz w:val="24"/>
                <w:szCs w:val="24"/>
              </w:rPr>
              <w:t>Руководитель</w:t>
            </w:r>
            <w:r w:rsidR="0082672B" w:rsidRPr="00974283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5B69C78D" w:rsidR="0082672B" w:rsidRPr="00974283" w:rsidRDefault="0082672B" w:rsidP="00E50BFC">
            <w:pPr>
              <w:ind w:right="317"/>
              <w:jc w:val="both"/>
              <w:rPr>
                <w:sz w:val="24"/>
                <w:szCs w:val="24"/>
              </w:rPr>
            </w:pPr>
            <w:r w:rsidRPr="00974283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974283">
              <w:rPr>
                <w:sz w:val="24"/>
                <w:szCs w:val="24"/>
              </w:rPr>
              <w:t xml:space="preserve"> </w:t>
            </w:r>
            <w:r w:rsidR="00974283">
              <w:rPr>
                <w:sz w:val="24"/>
                <w:szCs w:val="24"/>
              </w:rPr>
              <w:t>4</w:t>
            </w:r>
            <w:r w:rsidRPr="00974283">
              <w:rPr>
                <w:sz w:val="24"/>
                <w:szCs w:val="24"/>
              </w:rPr>
              <w:t xml:space="preserve"> чле</w:t>
            </w:r>
            <w:r w:rsidR="00974283">
              <w:rPr>
                <w:sz w:val="24"/>
                <w:szCs w:val="24"/>
              </w:rPr>
              <w:t>на</w:t>
            </w:r>
            <w:r w:rsidRPr="00974283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974283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974283">
              <w:rPr>
                <w:sz w:val="24"/>
                <w:szCs w:val="24"/>
              </w:rPr>
              <w:t>Е.</w:t>
            </w:r>
            <w:r w:rsidR="00A92AA5" w:rsidRPr="00974283">
              <w:rPr>
                <w:sz w:val="24"/>
                <w:szCs w:val="24"/>
              </w:rPr>
              <w:t>Н</w:t>
            </w:r>
            <w:r w:rsidRPr="00974283">
              <w:rPr>
                <w:sz w:val="24"/>
                <w:szCs w:val="24"/>
              </w:rPr>
              <w:t xml:space="preserve">. </w:t>
            </w:r>
            <w:r w:rsidR="00A92AA5" w:rsidRPr="00974283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62882898" w:rsidR="006E130B" w:rsidRPr="00C11C06" w:rsidRDefault="00420773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A8620E7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D02791">
              <w:rPr>
                <w:sz w:val="24"/>
                <w:szCs w:val="24"/>
              </w:rPr>
              <w:t>М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D02791">
              <w:rPr>
                <w:sz w:val="24"/>
                <w:szCs w:val="24"/>
              </w:rPr>
              <w:t>Андреева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1A8189E1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об установлении тарифов на питьевую воду (питьевое водоснабжение)</w:t>
      </w:r>
      <w:r w:rsidR="00B408BB">
        <w:rPr>
          <w:rFonts w:eastAsia="Calibri"/>
          <w:sz w:val="24"/>
          <w:szCs w:val="24"/>
        </w:rPr>
        <w:t xml:space="preserve"> </w:t>
      </w:r>
      <w:r w:rsidR="00901D95" w:rsidRPr="00901D95">
        <w:rPr>
          <w:sz w:val="24"/>
          <w:szCs w:val="24"/>
        </w:rPr>
        <w:t>на 2025 год</w:t>
      </w:r>
      <w:r w:rsidRPr="004B0177">
        <w:rPr>
          <w:rFonts w:eastAsia="Calibri"/>
          <w:sz w:val="24"/>
          <w:szCs w:val="24"/>
        </w:rPr>
        <w:t>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4D7556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11,6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(с 1 июля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г.)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390F93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014766">
        <w:rPr>
          <w:bCs/>
          <w:iCs/>
          <w:sz w:val="24"/>
          <w:szCs w:val="24"/>
          <w:lang w:eastAsia="ar-SA"/>
        </w:rPr>
        <w:t>9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014766">
        <w:rPr>
          <w:bCs/>
          <w:iCs/>
          <w:sz w:val="24"/>
          <w:szCs w:val="24"/>
          <w:lang w:eastAsia="ar-SA"/>
        </w:rPr>
        <w:t>3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24FC6B86" w14:textId="516E1FD9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3E22B6">
        <w:rPr>
          <w:rFonts w:eastAsia="Calibri"/>
          <w:sz w:val="24"/>
          <w:szCs w:val="24"/>
        </w:rPr>
        <w:t>ые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3E22B6">
        <w:rPr>
          <w:rFonts w:eastAsia="Calibri"/>
          <w:sz w:val="24"/>
          <w:szCs w:val="24"/>
        </w:rPr>
        <w:t>ы</w:t>
      </w:r>
      <w:r w:rsidRPr="004B0177">
        <w:rPr>
          <w:rFonts w:eastAsia="Calibri"/>
          <w:sz w:val="24"/>
          <w:szCs w:val="24"/>
        </w:rPr>
        <w:t xml:space="preserve"> </w:t>
      </w:r>
      <w:r w:rsidR="003E22B6">
        <w:rPr>
          <w:rFonts w:eastAsia="Calibri"/>
          <w:sz w:val="24"/>
          <w:szCs w:val="24"/>
        </w:rPr>
        <w:t xml:space="preserve">организаций </w:t>
      </w:r>
      <w:r w:rsidR="003E22B6">
        <w:rPr>
          <w:sz w:val="24"/>
          <w:szCs w:val="24"/>
        </w:rPr>
        <w:t>водопроводного хозяйства</w:t>
      </w:r>
      <w:r w:rsidR="003E22B6" w:rsidRPr="00901D95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3E22B6">
        <w:rPr>
          <w:rFonts w:eastAsia="Calibri"/>
          <w:sz w:val="24"/>
          <w:szCs w:val="24"/>
        </w:rPr>
        <w:t>и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 w:rsidR="003E22B6">
        <w:rPr>
          <w:rFonts w:eastAsiaTheme="minorHAnsi"/>
          <w:sz w:val="24"/>
          <w:szCs w:val="24"/>
          <w:lang w:eastAsia="en-US"/>
        </w:rPr>
        <w:t>ыми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3E22B6">
        <w:rPr>
          <w:rFonts w:eastAsiaTheme="minorHAnsi"/>
          <w:sz w:val="24"/>
          <w:szCs w:val="24"/>
          <w:lang w:eastAsia="en-US"/>
        </w:rPr>
        <w:t>ыми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</w:t>
      </w:r>
      <w:r w:rsidR="005716C6">
        <w:rPr>
          <w:rFonts w:eastAsiaTheme="minorHAnsi"/>
          <w:sz w:val="24"/>
          <w:szCs w:val="24"/>
          <w:lang w:eastAsia="en-US"/>
        </w:rPr>
        <w:t>ма</w:t>
      </w:r>
      <w:r w:rsidRPr="004B0177">
        <w:rPr>
          <w:rFonts w:eastAsiaTheme="minorHAnsi"/>
          <w:sz w:val="24"/>
          <w:szCs w:val="24"/>
          <w:lang w:eastAsia="en-US"/>
        </w:rPr>
        <w:t>м</w:t>
      </w:r>
      <w:r w:rsidR="003E22B6">
        <w:rPr>
          <w:rFonts w:eastAsiaTheme="minorHAnsi"/>
          <w:sz w:val="24"/>
          <w:szCs w:val="24"/>
          <w:lang w:eastAsia="en-US"/>
        </w:rPr>
        <w:t>и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02B5BF23" w14:textId="41C9D6E4" w:rsidR="00DC75E0" w:rsidRPr="004B0177" w:rsidRDefault="00DC75E0" w:rsidP="00DC75E0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4B0177">
        <w:rPr>
          <w:sz w:val="24"/>
        </w:rPr>
        <w:lastRenderedPageBreak/>
        <w:t>При утверждении тарифов на питьевую воду (питьевое водоснабжение)</w:t>
      </w:r>
      <w:r w:rsidR="00901D95">
        <w:rPr>
          <w:sz w:val="24"/>
        </w:rPr>
        <w:t xml:space="preserve"> </w:t>
      </w:r>
      <w:r w:rsidRPr="004B0177">
        <w:rPr>
          <w:sz w:val="24"/>
        </w:rPr>
        <w:t>применен метод экономически обоснованных расходов.</w:t>
      </w:r>
    </w:p>
    <w:p w14:paraId="46FCC8DD" w14:textId="461789C7" w:rsidR="00A405E4" w:rsidRPr="00E17657" w:rsidRDefault="00A405E4" w:rsidP="00A405E4">
      <w:pPr>
        <w:ind w:firstLine="709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Необходимая валовая выручка (далее - НВВ) определена в соответствии с пунктом 24 </w:t>
      </w:r>
      <w:r w:rsidR="002A74C3" w:rsidRPr="002A74C3"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</w:t>
      </w:r>
      <w:r w:rsidRPr="00E17657">
        <w:rPr>
          <w:sz w:val="24"/>
          <w:szCs w:val="24"/>
        </w:rPr>
        <w:t>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4A1D67" w:rsidRPr="00E17657">
        <w:rPr>
          <w:sz w:val="24"/>
          <w:szCs w:val="24"/>
        </w:rPr>
        <w:t xml:space="preserve"> и водоотведения</w:t>
      </w:r>
      <w:r w:rsidRPr="00E17657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7EFCE826" w14:textId="08C8B0E3" w:rsidR="004C2D06" w:rsidRPr="00E17657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901D95">
        <w:rPr>
          <w:sz w:val="24"/>
          <w:szCs w:val="24"/>
        </w:rPr>
        <w:t>ых</w:t>
      </w:r>
      <w:r w:rsidRPr="00E17657">
        <w:rPr>
          <w:sz w:val="24"/>
          <w:szCs w:val="24"/>
        </w:rPr>
        <w:t xml:space="preserve"> программ</w:t>
      </w:r>
      <w:r w:rsidR="00901D95">
        <w:rPr>
          <w:sz w:val="24"/>
          <w:szCs w:val="24"/>
        </w:rPr>
        <w:t>ах</w:t>
      </w:r>
      <w:r w:rsidRPr="00E17657">
        <w:rPr>
          <w:sz w:val="24"/>
          <w:szCs w:val="24"/>
        </w:rPr>
        <w:t xml:space="preserve"> </w:t>
      </w:r>
      <w:r w:rsidR="003E22B6">
        <w:rPr>
          <w:sz w:val="24"/>
          <w:szCs w:val="24"/>
        </w:rPr>
        <w:t>водопроводного хозяйства.</w:t>
      </w:r>
    </w:p>
    <w:p w14:paraId="2E2DA9DD" w14:textId="27476785" w:rsidR="003E3E6B" w:rsidRPr="00E17657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34D1A881" w:rsidR="00BB2C91" w:rsidRPr="00CF7BC2" w:rsidRDefault="00901D95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D02791">
        <w:rPr>
          <w:b/>
          <w:sz w:val="24"/>
          <w:szCs w:val="24"/>
        </w:rPr>
        <w:t>Андреева Н.М</w:t>
      </w:r>
      <w:r w:rsidR="00456419" w:rsidRPr="00E17657">
        <w:rPr>
          <w:b/>
          <w:sz w:val="24"/>
          <w:szCs w:val="24"/>
        </w:rPr>
        <w:t>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D02791">
        <w:rPr>
          <w:sz w:val="24"/>
          <w:szCs w:val="24"/>
        </w:rPr>
        <w:t>МУП «Елюзань»</w:t>
      </w:r>
      <w:r w:rsidR="00CF7BC2" w:rsidRPr="00CF7BC2">
        <w:rPr>
          <w:sz w:val="24"/>
          <w:szCs w:val="24"/>
        </w:rPr>
        <w:t xml:space="preserve"> на территории </w:t>
      </w:r>
      <w:r w:rsidR="00D02791">
        <w:rPr>
          <w:sz w:val="24"/>
          <w:szCs w:val="24"/>
        </w:rPr>
        <w:t>Среднеелюзанского сельсовета Городищенского</w:t>
      </w:r>
      <w:r w:rsidRPr="00901D95">
        <w:rPr>
          <w:sz w:val="24"/>
          <w:szCs w:val="24"/>
        </w:rPr>
        <w:t xml:space="preserve"> </w:t>
      </w:r>
      <w:r w:rsidR="00CF7BC2" w:rsidRPr="00CF7BC2">
        <w:rPr>
          <w:sz w:val="24"/>
          <w:szCs w:val="24"/>
        </w:rPr>
        <w:t>района Пензенской области</w:t>
      </w:r>
      <w:r w:rsidR="00456419" w:rsidRPr="00CF7BC2">
        <w:rPr>
          <w:sz w:val="24"/>
          <w:szCs w:val="24"/>
        </w:rPr>
        <w:t xml:space="preserve"> на 2025 год.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9E0D5D0" w14:textId="6DAEA30C" w:rsidR="00456419" w:rsidRPr="002F1E75" w:rsidRDefault="00456419" w:rsidP="00BB2C91">
      <w:pPr>
        <w:ind w:firstLine="709"/>
        <w:jc w:val="both"/>
        <w:rPr>
          <w:sz w:val="24"/>
          <w:szCs w:val="24"/>
        </w:rPr>
      </w:pPr>
      <w:r w:rsidRPr="002F1E75">
        <w:rPr>
          <w:sz w:val="24"/>
          <w:szCs w:val="24"/>
        </w:rPr>
        <w:t xml:space="preserve">В соответствии с пунктом 38 </w:t>
      </w:r>
      <w:r w:rsidR="00985397">
        <w:rPr>
          <w:sz w:val="24"/>
          <w:szCs w:val="24"/>
        </w:rPr>
        <w:t xml:space="preserve">Основ </w:t>
      </w:r>
      <w:r w:rsidRPr="002F1E75">
        <w:rPr>
          <w:sz w:val="24"/>
          <w:szCs w:val="24"/>
        </w:rPr>
        <w:t xml:space="preserve">при применении метода экономически обоснованных расходов (затрат) НВВ </w:t>
      </w:r>
      <w:r w:rsidR="00D02791">
        <w:rPr>
          <w:sz w:val="24"/>
          <w:szCs w:val="24"/>
        </w:rPr>
        <w:t>МУП «Елюзань»</w:t>
      </w:r>
      <w:r w:rsidRPr="002F1E75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административных расходов</w:t>
      </w:r>
      <w:r w:rsidR="00C9775D">
        <w:rPr>
          <w:sz w:val="24"/>
          <w:szCs w:val="24"/>
        </w:rPr>
        <w:t xml:space="preserve"> </w:t>
      </w:r>
      <w:r w:rsidR="00D574F0" w:rsidRPr="002F1E75">
        <w:rPr>
          <w:sz w:val="24"/>
          <w:szCs w:val="24"/>
        </w:rPr>
        <w:t>и расходов, связанных с уплатой налогов и сборов</w:t>
      </w:r>
      <w:r w:rsidRPr="002F1E75">
        <w:rPr>
          <w:sz w:val="24"/>
          <w:szCs w:val="24"/>
        </w:rPr>
        <w:t>.</w:t>
      </w:r>
      <w:r w:rsidRPr="002F1E75">
        <w:rPr>
          <w:rFonts w:eastAsia="Calibri"/>
          <w:sz w:val="24"/>
          <w:szCs w:val="24"/>
        </w:rPr>
        <w:t xml:space="preserve"> </w:t>
      </w:r>
    </w:p>
    <w:p w14:paraId="21777923" w14:textId="77777777" w:rsidR="00456419" w:rsidRPr="002F1E75" w:rsidRDefault="00456419" w:rsidP="00456419">
      <w:pPr>
        <w:pStyle w:val="BodyText21"/>
        <w:spacing w:after="120"/>
        <w:ind w:firstLine="709"/>
        <w:rPr>
          <w:szCs w:val="24"/>
        </w:rPr>
      </w:pPr>
      <w:r w:rsidRPr="002F1E75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2F1E75">
        <w:rPr>
          <w:b/>
          <w:szCs w:val="24"/>
        </w:rPr>
        <w:t xml:space="preserve"> </w:t>
      </w:r>
      <w:r w:rsidRPr="002F1E75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5B6E50" w:rsidRPr="005B6E50" w14:paraId="22000788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9F2" w14:textId="69222EB0" w:rsidR="00B84A34" w:rsidRPr="005B6E50" w:rsidRDefault="00B84A34" w:rsidP="00B84A34">
            <w:r w:rsidRPr="005B6E50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426" w14:textId="687DCAFE" w:rsidR="00B84A34" w:rsidRPr="005B6E50" w:rsidRDefault="00B84A34" w:rsidP="00B84A34">
            <w:pPr>
              <w:jc w:val="center"/>
            </w:pPr>
            <w:r w:rsidRPr="005B6E50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1F3BA" w14:textId="2CDDE76E" w:rsidR="00B84A34" w:rsidRPr="005B6E50" w:rsidRDefault="00B84A34" w:rsidP="00B84A34">
            <w:pPr>
              <w:jc w:val="center"/>
            </w:pPr>
            <w:r w:rsidRPr="005B6E50">
              <w:t>Величина показателя</w:t>
            </w:r>
          </w:p>
        </w:tc>
      </w:tr>
      <w:tr w:rsidR="005B6E50" w:rsidRPr="005B6E50" w14:paraId="71CECF79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187" w14:textId="32E3F06D" w:rsidR="00C9775D" w:rsidRPr="005B6E50" w:rsidRDefault="00C9775D" w:rsidP="00C9775D">
            <w:r w:rsidRPr="005B6E50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FED" w14:textId="159CEB97" w:rsidR="00C9775D" w:rsidRPr="005B6E50" w:rsidRDefault="00C9775D" w:rsidP="00C9775D">
            <w:r w:rsidRPr="005B6E50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C08E9" w14:textId="3E1F8484" w:rsidR="00C9775D" w:rsidRPr="005B6E50" w:rsidRDefault="00D02791" w:rsidP="00C9775D">
            <w:pPr>
              <w:jc w:val="right"/>
            </w:pPr>
            <w:r w:rsidRPr="005B6E50">
              <w:t>4072,25</w:t>
            </w:r>
          </w:p>
        </w:tc>
      </w:tr>
      <w:tr w:rsidR="005B6E50" w:rsidRPr="005B6E50" w14:paraId="2B3CEF8D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467A" w14:textId="6DDE7107" w:rsidR="00901D95" w:rsidRPr="005B6E50" w:rsidRDefault="00901D95" w:rsidP="00901D95">
            <w:pPr>
              <w:ind w:firstLine="270"/>
            </w:pPr>
            <w:r w:rsidRPr="005B6E50">
              <w:t>Расходы на сырье и материалы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0FE" w14:textId="4016440D" w:rsidR="00901D95" w:rsidRPr="005B6E50" w:rsidRDefault="00901D95" w:rsidP="00901D95">
            <w:r w:rsidRPr="005B6E50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17C5D" w14:textId="20713F90" w:rsidR="00901D95" w:rsidRPr="005B6E50" w:rsidRDefault="00D02791" w:rsidP="00901D95">
            <w:pPr>
              <w:jc w:val="right"/>
            </w:pPr>
            <w:r w:rsidRPr="005B6E50">
              <w:t>205,14</w:t>
            </w:r>
          </w:p>
        </w:tc>
      </w:tr>
      <w:tr w:rsidR="005B6E50" w:rsidRPr="005B6E50" w14:paraId="60552BFE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00C" w14:textId="0B697DA4" w:rsidR="00901D95" w:rsidRPr="005B6E50" w:rsidRDefault="00901D95" w:rsidP="00901D95">
            <w:pPr>
              <w:tabs>
                <w:tab w:val="left" w:pos="916"/>
              </w:tabs>
              <w:ind w:left="284"/>
            </w:pPr>
            <w:r w:rsidRPr="005B6E50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5AB" w14:textId="1D1FB9A7" w:rsidR="00901D95" w:rsidRPr="005B6E50" w:rsidRDefault="00901D95" w:rsidP="00901D95">
            <w:r w:rsidRPr="005B6E50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6CDE2" w14:textId="77879C9F" w:rsidR="00901D95" w:rsidRPr="005B6E50" w:rsidRDefault="00D02791" w:rsidP="00901D95">
            <w:pPr>
              <w:jc w:val="right"/>
            </w:pPr>
            <w:r w:rsidRPr="005B6E50">
              <w:t>1415,429</w:t>
            </w:r>
          </w:p>
        </w:tc>
      </w:tr>
      <w:tr w:rsidR="005B6E50" w:rsidRPr="005B6E50" w14:paraId="14DFE91D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79E6" w14:textId="07F2D046" w:rsidR="005B6E50" w:rsidRPr="005B6E50" w:rsidRDefault="005B6E50" w:rsidP="00901D95">
            <w:pPr>
              <w:tabs>
                <w:tab w:val="left" w:pos="916"/>
              </w:tabs>
              <w:ind w:left="284"/>
            </w:pPr>
            <w:r w:rsidRPr="005B6E50">
              <w:t>Расходы на оплату работ и услуг, выполняемых сторонними организациями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2CD" w14:textId="15C60C63" w:rsidR="005B6E50" w:rsidRPr="005B6E50" w:rsidRDefault="005B6E50" w:rsidP="00901D95">
            <w:r w:rsidRPr="005B6E50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6FFCB" w14:textId="361ACC32" w:rsidR="005B6E50" w:rsidRPr="005B6E50" w:rsidRDefault="005B6E50" w:rsidP="00901D95">
            <w:pPr>
              <w:jc w:val="right"/>
            </w:pPr>
            <w:r w:rsidRPr="005B6E50">
              <w:t>43,7</w:t>
            </w:r>
          </w:p>
        </w:tc>
      </w:tr>
      <w:tr w:rsidR="005B6E50" w:rsidRPr="005B6E50" w14:paraId="05BAB41A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7C2" w14:textId="62B12203" w:rsidR="005B6E50" w:rsidRPr="005B6E50" w:rsidRDefault="005B6E50" w:rsidP="005B6E50">
            <w:pPr>
              <w:tabs>
                <w:tab w:val="left" w:pos="916"/>
              </w:tabs>
              <w:ind w:left="284"/>
            </w:pPr>
            <w:r w:rsidRPr="005B6E50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A51" w14:textId="0D68DCDF" w:rsidR="005B6E50" w:rsidRPr="005B6E50" w:rsidRDefault="005B6E50" w:rsidP="005B6E50">
            <w:r w:rsidRPr="005B6E5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9CAEE" w14:textId="080043D9" w:rsidR="005B6E50" w:rsidRPr="005B6E50" w:rsidRDefault="005B6E50" w:rsidP="005B6E50">
            <w:pPr>
              <w:jc w:val="right"/>
            </w:pPr>
            <w:r w:rsidRPr="005B6E50">
              <w:t>1745,77</w:t>
            </w:r>
          </w:p>
        </w:tc>
      </w:tr>
      <w:tr w:rsidR="005B6E50" w:rsidRPr="005B6E50" w14:paraId="4FBFA555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04A" w14:textId="05D025C1" w:rsidR="005B6E50" w:rsidRPr="005B6E50" w:rsidRDefault="005B6E50" w:rsidP="005B6E50">
            <w:pPr>
              <w:tabs>
                <w:tab w:val="left" w:pos="916"/>
              </w:tabs>
              <w:ind w:left="284"/>
            </w:pPr>
            <w:r w:rsidRPr="005B6E50">
              <w:t>Страховые взносы на обязательное социальное страхование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597" w14:textId="279025E8" w:rsidR="005B6E50" w:rsidRPr="005B6E50" w:rsidRDefault="005B6E50" w:rsidP="005B6E50">
            <w:r w:rsidRPr="005B6E5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CFB40" w14:textId="26792745" w:rsidR="005B6E50" w:rsidRPr="005B6E50" w:rsidRDefault="005B6E50" w:rsidP="005B6E50">
            <w:pPr>
              <w:jc w:val="right"/>
            </w:pPr>
            <w:r w:rsidRPr="005B6E50">
              <w:t>527,22</w:t>
            </w:r>
          </w:p>
        </w:tc>
      </w:tr>
      <w:tr w:rsidR="005B6E50" w:rsidRPr="005B6E50" w14:paraId="1F62D9A2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E92" w14:textId="2A947BFC" w:rsidR="000120B7" w:rsidRPr="005B6E50" w:rsidRDefault="000120B7" w:rsidP="000120B7">
            <w:pPr>
              <w:tabs>
                <w:tab w:val="left" w:pos="916"/>
              </w:tabs>
              <w:ind w:left="284"/>
            </w:pPr>
            <w:r w:rsidRPr="005B6E50">
              <w:t>Контроль качества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9B7" w14:textId="59F02688" w:rsidR="000120B7" w:rsidRPr="005B6E50" w:rsidRDefault="000120B7" w:rsidP="000120B7">
            <w:r w:rsidRPr="005B6E5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92A26" w14:textId="3B40CEDF" w:rsidR="000120B7" w:rsidRPr="005B6E50" w:rsidRDefault="005B6E50" w:rsidP="000120B7">
            <w:pPr>
              <w:jc w:val="right"/>
            </w:pPr>
            <w:r w:rsidRPr="005B6E50">
              <w:t>135,0</w:t>
            </w:r>
          </w:p>
        </w:tc>
      </w:tr>
      <w:tr w:rsidR="005B6E50" w:rsidRPr="005B6E50" w14:paraId="2FF8BC92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565" w14:textId="47E5FAD1" w:rsidR="00C9775D" w:rsidRPr="005B6E50" w:rsidRDefault="00C9775D" w:rsidP="00C9775D">
            <w:pPr>
              <w:tabs>
                <w:tab w:val="left" w:pos="916"/>
              </w:tabs>
            </w:pPr>
            <w:r w:rsidRPr="005B6E50">
              <w:t>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BC5" w14:textId="2A07A9A6" w:rsidR="00C9775D" w:rsidRPr="005B6E50" w:rsidRDefault="00C9775D" w:rsidP="00C9775D">
            <w:r w:rsidRPr="005B6E5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C9ABB" w14:textId="383F7821" w:rsidR="00C9775D" w:rsidRPr="005B6E50" w:rsidRDefault="005B6E50" w:rsidP="00C9775D">
            <w:pPr>
              <w:jc w:val="right"/>
            </w:pPr>
            <w:r w:rsidRPr="005B6E50">
              <w:t>14,4</w:t>
            </w:r>
          </w:p>
        </w:tc>
      </w:tr>
      <w:tr w:rsidR="005B6E50" w:rsidRPr="005B6E50" w14:paraId="7E991ADB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96FF" w14:textId="20B1363D" w:rsidR="000120B7" w:rsidRPr="005B6E50" w:rsidRDefault="000120B7" w:rsidP="000120B7">
            <w:pPr>
              <w:ind w:hanging="105"/>
            </w:pPr>
            <w:r w:rsidRPr="005B6E50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029" w14:textId="7D4CD9DD" w:rsidR="000120B7" w:rsidRPr="005B6E50" w:rsidRDefault="000120B7" w:rsidP="000120B7">
            <w:r w:rsidRPr="005B6E5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61179" w14:textId="33E96485" w:rsidR="000120B7" w:rsidRPr="005B6E50" w:rsidRDefault="000120B7" w:rsidP="000120B7">
            <w:pPr>
              <w:jc w:val="right"/>
            </w:pPr>
            <w:r w:rsidRPr="005B6E50">
              <w:t>365,53</w:t>
            </w:r>
          </w:p>
        </w:tc>
      </w:tr>
      <w:tr w:rsidR="005B6E50" w:rsidRPr="005B6E50" w14:paraId="696C369C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3D6" w14:textId="51E9E4E6" w:rsidR="005B6E50" w:rsidRPr="005B6E50" w:rsidRDefault="005B6E50" w:rsidP="005B6E50">
            <w:pPr>
              <w:tabs>
                <w:tab w:val="left" w:pos="916"/>
              </w:tabs>
              <w:ind w:left="284"/>
            </w:pPr>
            <w:r w:rsidRPr="005B6E50">
              <w:t>Водный налог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163" w14:textId="526A8F8A" w:rsidR="005B6E50" w:rsidRPr="005B6E50" w:rsidRDefault="005B6E50" w:rsidP="005B6E50">
            <w:r w:rsidRPr="005B6E5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C21DF" w14:textId="7AE0D63F" w:rsidR="005B6E50" w:rsidRPr="005B6E50" w:rsidRDefault="005B6E50" w:rsidP="005B6E50">
            <w:pPr>
              <w:jc w:val="right"/>
            </w:pPr>
            <w:r w:rsidRPr="005B6E50">
              <w:t>64,16</w:t>
            </w:r>
          </w:p>
        </w:tc>
      </w:tr>
      <w:tr w:rsidR="005B6E50" w:rsidRPr="005B6E50" w14:paraId="1F60C354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523E" w14:textId="72981941" w:rsidR="005B6E50" w:rsidRPr="005B6E50" w:rsidRDefault="005B6E50" w:rsidP="005B6E50">
            <w:pPr>
              <w:tabs>
                <w:tab w:val="left" w:pos="916"/>
              </w:tabs>
              <w:ind w:left="284"/>
            </w:pPr>
            <w:r w:rsidRPr="005B6E50"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479" w14:textId="1B672413" w:rsidR="005B6E50" w:rsidRPr="005B6E50" w:rsidRDefault="005B6E50" w:rsidP="005B6E50">
            <w:r w:rsidRPr="005B6E5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C888" w14:textId="1E882281" w:rsidR="005B6E50" w:rsidRPr="005B6E50" w:rsidRDefault="005B6E50" w:rsidP="005B6E50">
            <w:pPr>
              <w:jc w:val="right"/>
            </w:pPr>
            <w:r w:rsidRPr="005B6E50">
              <w:t>38,80</w:t>
            </w:r>
          </w:p>
        </w:tc>
      </w:tr>
      <w:tr w:rsidR="005B6E50" w:rsidRPr="005B6E50" w14:paraId="4DB825A6" w14:textId="77777777" w:rsidTr="00B84A34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9C1" w14:textId="2556CE7C" w:rsidR="00B84A34" w:rsidRPr="005B6E50" w:rsidRDefault="00B84A34" w:rsidP="00B84A34">
            <w:pPr>
              <w:ind w:firstLineChars="100" w:firstLine="200"/>
            </w:pPr>
            <w:r w:rsidRPr="005B6E50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FA5" w14:textId="344082C8" w:rsidR="00B84A34" w:rsidRPr="005B6E50" w:rsidRDefault="00B84A34" w:rsidP="00B84A34">
            <w:r w:rsidRPr="005B6E50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83F10" w14:textId="70DBA029" w:rsidR="00B84A34" w:rsidRPr="005B6E50" w:rsidRDefault="005B6E50" w:rsidP="00B84A34">
            <w:pPr>
              <w:jc w:val="right"/>
            </w:pPr>
            <w:r w:rsidRPr="005B6E50">
              <w:t>4189,60</w:t>
            </w:r>
          </w:p>
        </w:tc>
      </w:tr>
    </w:tbl>
    <w:p w14:paraId="402322D1" w14:textId="77777777" w:rsidR="00B84A34" w:rsidRPr="00C11C06" w:rsidRDefault="00B84A34" w:rsidP="00B84A34">
      <w:pPr>
        <w:pStyle w:val="a6"/>
        <w:rPr>
          <w:color w:val="FF0000"/>
          <w:sz w:val="14"/>
          <w:szCs w:val="24"/>
        </w:rPr>
      </w:pPr>
    </w:p>
    <w:p w14:paraId="1EFB701D" w14:textId="0261F28C" w:rsidR="00B84A34" w:rsidRPr="00F5704C" w:rsidRDefault="00B84A34" w:rsidP="00B84A34">
      <w:pPr>
        <w:pStyle w:val="a6"/>
        <w:ind w:firstLine="709"/>
        <w:rPr>
          <w:sz w:val="24"/>
          <w:szCs w:val="24"/>
        </w:rPr>
      </w:pPr>
      <w:r w:rsidRPr="00F5704C">
        <w:rPr>
          <w:sz w:val="24"/>
          <w:szCs w:val="24"/>
        </w:rPr>
        <w:t xml:space="preserve">Объем отпуска воды принят в размере </w:t>
      </w:r>
      <w:r w:rsidR="005B6E50" w:rsidRPr="005B6E50">
        <w:rPr>
          <w:sz w:val="24"/>
          <w:szCs w:val="24"/>
        </w:rPr>
        <w:t>125,705</w:t>
      </w:r>
      <w:r w:rsidR="005B6E50">
        <w:rPr>
          <w:sz w:val="24"/>
          <w:szCs w:val="24"/>
        </w:rPr>
        <w:t xml:space="preserve"> </w:t>
      </w:r>
      <w:r w:rsidRPr="00F5704C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5B6E50" w:rsidRPr="005B6E50">
        <w:rPr>
          <w:sz w:val="24"/>
          <w:szCs w:val="24"/>
        </w:rPr>
        <w:t>122,581</w:t>
      </w:r>
      <w:r w:rsidR="005B6E50">
        <w:rPr>
          <w:sz w:val="24"/>
          <w:szCs w:val="24"/>
        </w:rPr>
        <w:t xml:space="preserve"> </w:t>
      </w:r>
      <w:r w:rsidRPr="00F5704C">
        <w:rPr>
          <w:sz w:val="24"/>
          <w:szCs w:val="24"/>
        </w:rPr>
        <w:t>тыс. кВт·ч.</w:t>
      </w:r>
    </w:p>
    <w:p w14:paraId="2F08C740" w14:textId="35ED17EE" w:rsidR="00B84A34" w:rsidRPr="00F5704C" w:rsidRDefault="00B84A34" w:rsidP="00B84A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04C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5B6E50">
        <w:rPr>
          <w:sz w:val="24"/>
          <w:szCs w:val="24"/>
        </w:rPr>
        <w:t xml:space="preserve">                   </w:t>
      </w:r>
      <w:r w:rsidR="00D02791">
        <w:rPr>
          <w:sz w:val="24"/>
          <w:szCs w:val="24"/>
        </w:rPr>
        <w:t>МУП «Елюзань»</w:t>
      </w:r>
      <w:r w:rsidRPr="00F5704C">
        <w:rPr>
          <w:sz w:val="24"/>
          <w:szCs w:val="24"/>
        </w:rPr>
        <w:t xml:space="preserve"> в предложении об установлении тарифа на 2025 год:</w:t>
      </w:r>
    </w:p>
    <w:p w14:paraId="7ED0BD5C" w14:textId="4A6C0BBC" w:rsidR="00B84A34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70A78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5B6E50">
        <w:rPr>
          <w:sz w:val="24"/>
          <w:szCs w:val="24"/>
        </w:rPr>
        <w:t>290,56</w:t>
      </w:r>
      <w:r>
        <w:rPr>
          <w:sz w:val="24"/>
          <w:szCs w:val="24"/>
        </w:rPr>
        <w:t xml:space="preserve"> </w:t>
      </w:r>
      <w:r w:rsidRPr="00570A78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09C1FCB8" w14:textId="77777777" w:rsidR="005B6E50" w:rsidRDefault="005B6E50" w:rsidP="005B6E50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Pr="005B6E50">
        <w:rPr>
          <w:sz w:val="24"/>
          <w:szCs w:val="24"/>
        </w:rPr>
        <w:t>на оплату работ и услуг, выполняемых сторонними организациями</w:t>
      </w:r>
      <w:r>
        <w:rPr>
          <w:sz w:val="24"/>
          <w:szCs w:val="24"/>
        </w:rPr>
        <w:t xml:space="preserve"> в размере 579,60 </w:t>
      </w:r>
      <w:r w:rsidRPr="00570A78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102543FE" w14:textId="6F436846" w:rsidR="009E6716" w:rsidRPr="009E6716" w:rsidRDefault="009E6716" w:rsidP="009E6716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E6716">
        <w:rPr>
          <w:sz w:val="24"/>
          <w:szCs w:val="24"/>
        </w:rPr>
        <w:t>расходы на оплату труда производственного персонала</w:t>
      </w:r>
      <w:r>
        <w:rPr>
          <w:sz w:val="24"/>
          <w:szCs w:val="24"/>
        </w:rPr>
        <w:t xml:space="preserve"> в размере 1900,03 </w:t>
      </w:r>
      <w:r w:rsidRPr="00570A78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432B60C1" w14:textId="77777777" w:rsidR="009E6716" w:rsidRPr="009E6716" w:rsidRDefault="009E6716" w:rsidP="009E6716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расходы по уплате </w:t>
      </w:r>
      <w:r w:rsidRPr="009E6716">
        <w:rPr>
          <w:sz w:val="24"/>
          <w:szCs w:val="24"/>
        </w:rPr>
        <w:t>страховы</w:t>
      </w:r>
      <w:r>
        <w:rPr>
          <w:sz w:val="24"/>
          <w:szCs w:val="24"/>
        </w:rPr>
        <w:t>х</w:t>
      </w:r>
      <w:r w:rsidRPr="009E6716">
        <w:rPr>
          <w:sz w:val="24"/>
          <w:szCs w:val="24"/>
        </w:rPr>
        <w:t xml:space="preserve"> взнос</w:t>
      </w:r>
      <w:r>
        <w:rPr>
          <w:sz w:val="24"/>
          <w:szCs w:val="24"/>
        </w:rPr>
        <w:t>ов</w:t>
      </w:r>
      <w:r w:rsidRPr="009E6716">
        <w:rPr>
          <w:sz w:val="24"/>
          <w:szCs w:val="24"/>
        </w:rPr>
        <w:t xml:space="preserve"> на обязательное социальное страхование производственного персонала</w:t>
      </w:r>
      <w:r>
        <w:rPr>
          <w:sz w:val="24"/>
          <w:szCs w:val="24"/>
        </w:rPr>
        <w:t xml:space="preserve"> в размере 573,78 </w:t>
      </w:r>
      <w:r w:rsidRPr="00570A78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00DBF1A5" w14:textId="77777777" w:rsidR="009E6716" w:rsidRPr="009E6716" w:rsidRDefault="009E6716" w:rsidP="009E6716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прочим производственным расходам в размере 10,02 </w:t>
      </w:r>
      <w:r w:rsidRPr="00570A78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324D314E" w14:textId="0B61C06F" w:rsidR="009E6716" w:rsidRPr="009E6716" w:rsidRDefault="009E6716" w:rsidP="009E6716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арендную плату в размере 36,0 </w:t>
      </w:r>
      <w:r w:rsidRPr="00570A78">
        <w:rPr>
          <w:sz w:val="24"/>
          <w:szCs w:val="24"/>
        </w:rPr>
        <w:t>тыс. 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.</w:t>
      </w:r>
    </w:p>
    <w:p w14:paraId="39BFD5A4" w14:textId="77777777" w:rsidR="00B84A34" w:rsidRPr="00EF2BAC" w:rsidRDefault="00B84A34" w:rsidP="00B84A34">
      <w:pPr>
        <w:keepNext/>
        <w:ind w:firstLine="709"/>
        <w:rPr>
          <w:sz w:val="24"/>
          <w:szCs w:val="24"/>
        </w:rPr>
      </w:pPr>
      <w:r w:rsidRPr="00EF2BAC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84A34" w:rsidRPr="00C11C06" w14:paraId="1443799C" w14:textId="77777777" w:rsidTr="00B84A34">
        <w:tc>
          <w:tcPr>
            <w:tcW w:w="5529" w:type="dxa"/>
            <w:vMerge w:val="restart"/>
            <w:vAlign w:val="center"/>
          </w:tcPr>
          <w:p w14:paraId="0F73BBEA" w14:textId="77777777" w:rsidR="00B84A34" w:rsidRPr="00EF2BAC" w:rsidRDefault="00B84A34" w:rsidP="00B84A34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5FCB07C" w14:textId="77777777" w:rsidR="00B84A34" w:rsidRPr="00EF2BAC" w:rsidRDefault="00B84A34" w:rsidP="00B84A34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2A0B72E5" w14:textId="77777777" w:rsidR="00B84A34" w:rsidRPr="00EF2BAC" w:rsidRDefault="00B84A34" w:rsidP="00B84A34">
            <w:pPr>
              <w:jc w:val="center"/>
            </w:pPr>
            <w:r w:rsidRPr="00EF2BAC">
              <w:t>2025 год</w:t>
            </w:r>
          </w:p>
        </w:tc>
      </w:tr>
      <w:tr w:rsidR="00B84A34" w:rsidRPr="00C11C06" w14:paraId="4786290C" w14:textId="77777777" w:rsidTr="00B84A34">
        <w:tc>
          <w:tcPr>
            <w:tcW w:w="5529" w:type="dxa"/>
            <w:vMerge/>
            <w:vAlign w:val="center"/>
          </w:tcPr>
          <w:p w14:paraId="7B9D14E8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438142C" w14:textId="77777777" w:rsidR="00B84A34" w:rsidRPr="00EF2BAC" w:rsidRDefault="00B84A34" w:rsidP="00B84A3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6ABA9F" w14:textId="77777777" w:rsidR="00B84A34" w:rsidRPr="00EF2BAC" w:rsidRDefault="00B84A34" w:rsidP="00B84A34">
            <w:pPr>
              <w:jc w:val="center"/>
            </w:pPr>
            <w:r w:rsidRPr="00EF2BAC">
              <w:t>План Министерства</w:t>
            </w:r>
          </w:p>
        </w:tc>
      </w:tr>
      <w:tr w:rsidR="00B84A34" w:rsidRPr="00C11C06" w14:paraId="6DA802D1" w14:textId="77777777" w:rsidTr="00B84A3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0E18F8C" w14:textId="77777777" w:rsidR="00B84A34" w:rsidRPr="00EF2BAC" w:rsidRDefault="00B84A34" w:rsidP="00B84A34">
            <w:pPr>
              <w:jc w:val="center"/>
            </w:pPr>
            <w:r w:rsidRPr="00EF2BAC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84CADB2" w14:textId="77777777" w:rsidR="00B84A34" w:rsidRPr="00EF2BAC" w:rsidRDefault="00B84A34" w:rsidP="00B84A34">
            <w:pPr>
              <w:jc w:val="center"/>
            </w:pPr>
            <w:proofErr w:type="spellStart"/>
            <w:r w:rsidRPr="00EF2BAC">
              <w:t>тыс.кВт.ч</w:t>
            </w:r>
            <w:proofErr w:type="spellEnd"/>
            <w:r w:rsidRPr="00EF2BAC">
              <w:t>/год</w:t>
            </w:r>
          </w:p>
        </w:tc>
        <w:tc>
          <w:tcPr>
            <w:tcW w:w="3118" w:type="dxa"/>
            <w:vAlign w:val="center"/>
          </w:tcPr>
          <w:p w14:paraId="60B07C93" w14:textId="688F2CD3" w:rsidR="00B84A34" w:rsidRPr="00EF2BAC" w:rsidRDefault="009E6716" w:rsidP="00B84A34">
            <w:pPr>
              <w:jc w:val="center"/>
            </w:pPr>
            <w:r w:rsidRPr="009E6716">
              <w:t>122,581</w:t>
            </w:r>
          </w:p>
        </w:tc>
      </w:tr>
      <w:tr w:rsidR="00B84A34" w:rsidRPr="00C11C06" w14:paraId="1F200E5F" w14:textId="77777777" w:rsidTr="00B84A34">
        <w:tc>
          <w:tcPr>
            <w:tcW w:w="5529" w:type="dxa"/>
            <w:vMerge/>
            <w:vAlign w:val="center"/>
          </w:tcPr>
          <w:p w14:paraId="61810FF3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F4DB937" w14:textId="77777777" w:rsidR="00B84A34" w:rsidRPr="00EF2BAC" w:rsidRDefault="00B84A34" w:rsidP="00B84A34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/куб.м</w:t>
            </w:r>
          </w:p>
        </w:tc>
        <w:tc>
          <w:tcPr>
            <w:tcW w:w="3118" w:type="dxa"/>
            <w:vAlign w:val="center"/>
          </w:tcPr>
          <w:p w14:paraId="53C747F3" w14:textId="52D0DF9D" w:rsidR="00B84A34" w:rsidRPr="00EF2BAC" w:rsidRDefault="00640AE8" w:rsidP="006B5ADE">
            <w:pPr>
              <w:jc w:val="center"/>
            </w:pPr>
            <w:r>
              <w:t>0,89</w:t>
            </w:r>
          </w:p>
        </w:tc>
      </w:tr>
      <w:tr w:rsidR="00B5591C" w:rsidRPr="00C11C06" w14:paraId="700D4EA6" w14:textId="77777777" w:rsidTr="00B84A34">
        <w:trPr>
          <w:trHeight w:val="189"/>
        </w:trPr>
        <w:tc>
          <w:tcPr>
            <w:tcW w:w="5529" w:type="dxa"/>
            <w:vMerge w:val="restart"/>
          </w:tcPr>
          <w:p w14:paraId="2BD404DD" w14:textId="77777777" w:rsidR="00B5591C" w:rsidRPr="00EF2BAC" w:rsidRDefault="00B5591C" w:rsidP="00B5591C">
            <w:pPr>
              <w:jc w:val="center"/>
            </w:pPr>
            <w:r w:rsidRPr="00EF2BAC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FCB6E85" w14:textId="77777777" w:rsidR="00B5591C" w:rsidRPr="00EF2BAC" w:rsidRDefault="00B5591C" w:rsidP="00B5591C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3A5BD529" w14:textId="7AE8274B" w:rsidR="00B5591C" w:rsidRPr="004F07ED" w:rsidRDefault="00640AE8" w:rsidP="00B5591C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B5591C" w:rsidRPr="00C11C06" w14:paraId="67911ED5" w14:textId="77777777" w:rsidTr="00B84A34">
        <w:tc>
          <w:tcPr>
            <w:tcW w:w="5529" w:type="dxa"/>
            <w:vMerge/>
          </w:tcPr>
          <w:p w14:paraId="498F1E74" w14:textId="77777777" w:rsidR="00B5591C" w:rsidRPr="00EF2BAC" w:rsidRDefault="00B5591C" w:rsidP="00B5591C">
            <w:pPr>
              <w:jc w:val="center"/>
            </w:pPr>
          </w:p>
        </w:tc>
        <w:tc>
          <w:tcPr>
            <w:tcW w:w="1559" w:type="dxa"/>
          </w:tcPr>
          <w:p w14:paraId="12903491" w14:textId="77777777" w:rsidR="00B5591C" w:rsidRPr="00EF2BAC" w:rsidRDefault="00B5591C" w:rsidP="00B5591C">
            <w:pPr>
              <w:jc w:val="center"/>
            </w:pPr>
            <w:r w:rsidRPr="00EF2BAC">
              <w:t>г/куб.м (мг/л)</w:t>
            </w:r>
          </w:p>
        </w:tc>
        <w:tc>
          <w:tcPr>
            <w:tcW w:w="3118" w:type="dxa"/>
          </w:tcPr>
          <w:p w14:paraId="413D4BC8" w14:textId="06AA9C88" w:rsidR="00B5591C" w:rsidRPr="004F07ED" w:rsidRDefault="00640AE8" w:rsidP="00B5591C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</w:tbl>
    <w:p w14:paraId="4558AFCA" w14:textId="77777777" w:rsidR="00B84A34" w:rsidRPr="00C80CDD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C80CDD">
        <w:t>Норматив потерь питьевой воды не утвержден.</w:t>
      </w:r>
    </w:p>
    <w:p w14:paraId="765CAD20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5C6A8F2C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B84A34" w:rsidRPr="00706FD7" w14:paraId="479737D4" w14:textId="77777777" w:rsidTr="00B84A34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7035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B0A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D12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6A48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 xml:space="preserve">План на </w:t>
            </w:r>
            <w:r w:rsidRPr="00706FD7">
              <w:rPr>
                <w:b/>
                <w:bCs/>
              </w:rPr>
              <w:br/>
              <w:t>2025 год</w:t>
            </w:r>
          </w:p>
        </w:tc>
      </w:tr>
      <w:tr w:rsidR="00B84A34" w:rsidRPr="00706FD7" w14:paraId="0C39510E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9A9B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48F6EF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2BBC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76F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B84A34" w:rsidRPr="00706FD7" w14:paraId="1BCB1964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3FB6" w14:textId="77777777" w:rsidR="00B84A34" w:rsidRPr="00706FD7" w:rsidRDefault="00B84A34" w:rsidP="00B84A34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D060" w14:textId="77777777" w:rsidR="00B84A34" w:rsidRPr="00706FD7" w:rsidRDefault="00B84A34" w:rsidP="00B84A34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F9F9" w14:textId="77777777" w:rsidR="00B84A34" w:rsidRPr="00706FD7" w:rsidRDefault="00B84A34" w:rsidP="00B84A34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8C1E" w14:textId="2F7E4211" w:rsidR="00B84A34" w:rsidRPr="00706FD7" w:rsidRDefault="00933688" w:rsidP="004F07ED">
            <w:pPr>
              <w:jc w:val="center"/>
            </w:pPr>
            <w:r>
              <w:t>0</w:t>
            </w:r>
          </w:p>
        </w:tc>
      </w:tr>
      <w:tr w:rsidR="00B84A34" w:rsidRPr="00706FD7" w14:paraId="7203D10B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D789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EE8FAD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D65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64BE" w14:textId="77777777" w:rsidR="00B84A34" w:rsidRPr="00706FD7" w:rsidRDefault="00B84A34" w:rsidP="00B84A34">
            <w:pPr>
              <w:jc w:val="center"/>
            </w:pPr>
          </w:p>
        </w:tc>
      </w:tr>
      <w:tr w:rsidR="00B84A34" w:rsidRPr="00706FD7" w14:paraId="69F0DEF1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54D" w14:textId="77777777" w:rsidR="00B84A34" w:rsidRPr="00706FD7" w:rsidRDefault="00B84A34" w:rsidP="00B84A34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A759A7" w14:textId="77777777" w:rsidR="00B84A34" w:rsidRPr="00706FD7" w:rsidRDefault="00B84A34" w:rsidP="00B84A34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3BB9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232A" w14:textId="77777777" w:rsidR="00B84A34" w:rsidRPr="00706FD7" w:rsidRDefault="00B84A34" w:rsidP="00B84A34">
            <w:pPr>
              <w:jc w:val="center"/>
            </w:pPr>
            <w:r w:rsidRPr="00706FD7">
              <w:t>0</w:t>
            </w:r>
          </w:p>
        </w:tc>
      </w:tr>
      <w:tr w:rsidR="00B84A34" w:rsidRPr="00706FD7" w14:paraId="04260299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B7D7" w14:textId="77777777" w:rsidR="00B84A34" w:rsidRPr="00706FD7" w:rsidRDefault="00B84A34" w:rsidP="00B84A34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8A8959" w14:textId="77777777" w:rsidR="00B84A34" w:rsidRPr="00706FD7" w:rsidRDefault="00B84A34" w:rsidP="00B84A3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F7CC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0621" w14:textId="77777777" w:rsidR="00B84A34" w:rsidRPr="00706FD7" w:rsidRDefault="00B84A34" w:rsidP="00B84A34">
            <w:pPr>
              <w:jc w:val="center"/>
            </w:pPr>
            <w:r w:rsidRPr="00706FD7">
              <w:t>0</w:t>
            </w:r>
          </w:p>
        </w:tc>
      </w:tr>
      <w:tr w:rsidR="00B84A34" w:rsidRPr="00706FD7" w14:paraId="56DBFEF3" w14:textId="77777777" w:rsidTr="00B84A34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5C8E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719D8A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6476" w14:textId="77777777" w:rsidR="00B84A34" w:rsidRPr="00706FD7" w:rsidRDefault="00B84A34" w:rsidP="00B84A34">
            <w:pPr>
              <w:jc w:val="center"/>
            </w:pPr>
          </w:p>
        </w:tc>
      </w:tr>
      <w:tr w:rsidR="00B84A34" w:rsidRPr="00706FD7" w14:paraId="738FA4D0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8253" w14:textId="77777777" w:rsidR="00B84A34" w:rsidRPr="00706FD7" w:rsidRDefault="00B84A34" w:rsidP="00B84A34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248005" w14:textId="77777777" w:rsidR="00B84A34" w:rsidRPr="00706FD7" w:rsidRDefault="00B84A34" w:rsidP="00B84A3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1FCD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919" w14:textId="778B3D2E" w:rsidR="00B84A34" w:rsidRPr="00706FD7" w:rsidRDefault="00640AE8" w:rsidP="00B84A34">
            <w:pPr>
              <w:jc w:val="center"/>
            </w:pPr>
            <w:r>
              <w:t>4,49</w:t>
            </w:r>
          </w:p>
        </w:tc>
      </w:tr>
      <w:tr w:rsidR="00B84A34" w:rsidRPr="00706FD7" w14:paraId="1F0B244A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AC82" w14:textId="77777777" w:rsidR="00B84A34" w:rsidRPr="00706FD7" w:rsidRDefault="00B84A34" w:rsidP="00B84A34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90D543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439B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6A19" w14:textId="663CDDD5" w:rsidR="00B84A34" w:rsidRPr="00706FD7" w:rsidRDefault="00640AE8" w:rsidP="00ED57FD">
            <w:pPr>
              <w:jc w:val="center"/>
            </w:pPr>
            <w:r>
              <w:t>0,89</w:t>
            </w:r>
          </w:p>
        </w:tc>
      </w:tr>
      <w:tr w:rsidR="00B84A34" w:rsidRPr="00706FD7" w14:paraId="54C2BCBD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F13E" w14:textId="77777777" w:rsidR="00B84A34" w:rsidRPr="00706FD7" w:rsidRDefault="00B84A34" w:rsidP="00B84A34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E2A080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4B8D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6692" w14:textId="77777777" w:rsidR="00B84A34" w:rsidRPr="00706FD7" w:rsidRDefault="00B84A34" w:rsidP="00B84A34">
            <w:pPr>
              <w:jc w:val="center"/>
            </w:pPr>
            <w:r w:rsidRPr="00706FD7">
              <w:t>-</w:t>
            </w:r>
          </w:p>
        </w:tc>
      </w:tr>
    </w:tbl>
    <w:p w14:paraId="7444F846" w14:textId="77777777" w:rsidR="006C0D1A" w:rsidRDefault="006C0D1A" w:rsidP="00B84A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032CA02" w14:textId="629A07B8" w:rsidR="004F07ED" w:rsidRPr="004F07ED" w:rsidRDefault="00B84A34" w:rsidP="002A74C3">
      <w:pPr>
        <w:ind w:firstLine="680"/>
        <w:jc w:val="both"/>
        <w:rPr>
          <w:sz w:val="24"/>
          <w:szCs w:val="24"/>
        </w:rPr>
      </w:pPr>
      <w:r w:rsidRPr="00706FD7">
        <w:rPr>
          <w:sz w:val="24"/>
          <w:szCs w:val="24"/>
        </w:rPr>
        <w:t xml:space="preserve">Расчетный одноставочный тариф на </w:t>
      </w:r>
      <w:r w:rsidRPr="00706FD7">
        <w:rPr>
          <w:rFonts w:eastAsia="Calibri"/>
          <w:sz w:val="24"/>
          <w:szCs w:val="24"/>
        </w:rPr>
        <w:t>питьевую воду (питьевое водоснабжение)</w:t>
      </w:r>
      <w:r w:rsidRPr="00706FD7">
        <w:rPr>
          <w:sz w:val="24"/>
          <w:szCs w:val="24"/>
        </w:rPr>
        <w:t xml:space="preserve"> для </w:t>
      </w:r>
      <w:r w:rsidRPr="00706FD7">
        <w:rPr>
          <w:rFonts w:eastAsia="Calibri"/>
          <w:sz w:val="24"/>
          <w:szCs w:val="24"/>
        </w:rPr>
        <w:t xml:space="preserve">потребителей </w:t>
      </w:r>
      <w:r w:rsidR="00D02791">
        <w:rPr>
          <w:sz w:val="24"/>
          <w:szCs w:val="24"/>
        </w:rPr>
        <w:t>МУП «Елюзань»</w:t>
      </w:r>
      <w:r w:rsidRPr="00706FD7">
        <w:rPr>
          <w:sz w:val="24"/>
          <w:szCs w:val="24"/>
        </w:rPr>
        <w:t xml:space="preserve"> на территории </w:t>
      </w:r>
      <w:r w:rsidR="00D02791">
        <w:rPr>
          <w:sz w:val="24"/>
          <w:szCs w:val="24"/>
        </w:rPr>
        <w:t>Среднеелюзанского сельсовета Городищенского</w:t>
      </w:r>
      <w:r w:rsidR="004F07ED" w:rsidRPr="00901D95">
        <w:rPr>
          <w:sz w:val="24"/>
          <w:szCs w:val="24"/>
        </w:rPr>
        <w:t xml:space="preserve">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391C5E">
        <w:rPr>
          <w:sz w:val="32"/>
          <w:szCs w:val="24"/>
        </w:rPr>
        <w:t xml:space="preserve"> </w:t>
      </w:r>
      <w:r w:rsidR="004F07ED" w:rsidRPr="004F07ED">
        <w:rPr>
          <w:sz w:val="24"/>
          <w:szCs w:val="24"/>
        </w:rPr>
        <w:t xml:space="preserve">с </w:t>
      </w:r>
      <w:r w:rsidR="00640AE8">
        <w:rPr>
          <w:sz w:val="24"/>
          <w:szCs w:val="24"/>
        </w:rPr>
        <w:t>08</w:t>
      </w:r>
      <w:r w:rsidR="004F07ED" w:rsidRPr="004F07ED">
        <w:rPr>
          <w:sz w:val="24"/>
          <w:szCs w:val="24"/>
        </w:rPr>
        <w:t xml:space="preserve"> </w:t>
      </w:r>
      <w:r w:rsidR="00640AE8">
        <w:rPr>
          <w:sz w:val="24"/>
          <w:szCs w:val="24"/>
        </w:rPr>
        <w:t>августа</w:t>
      </w:r>
      <w:r w:rsidR="004F07ED" w:rsidRPr="004F07ED">
        <w:rPr>
          <w:sz w:val="24"/>
          <w:szCs w:val="24"/>
        </w:rPr>
        <w:t xml:space="preserve"> 2025 года по 31 декабря 2025 года </w:t>
      </w:r>
      <w:r w:rsidR="002A74C3">
        <w:rPr>
          <w:sz w:val="24"/>
          <w:szCs w:val="24"/>
        </w:rPr>
        <w:t>составил</w:t>
      </w:r>
      <w:r w:rsidR="004F07ED" w:rsidRPr="004F07ED">
        <w:rPr>
          <w:sz w:val="24"/>
          <w:szCs w:val="24"/>
        </w:rPr>
        <w:t xml:space="preserve"> </w:t>
      </w:r>
      <w:r w:rsidR="00640AE8">
        <w:rPr>
          <w:sz w:val="24"/>
          <w:szCs w:val="24"/>
        </w:rPr>
        <w:t>35,58</w:t>
      </w:r>
      <w:r w:rsidR="004F07ED" w:rsidRPr="004F07ED">
        <w:rPr>
          <w:sz w:val="24"/>
          <w:szCs w:val="24"/>
        </w:rPr>
        <w:t xml:space="preserve"> руб. за 1 куб. м (НДС не облагается в соответствии с главой 26.2 Налогового кодекса Российской Федерации).</w:t>
      </w:r>
    </w:p>
    <w:p w14:paraId="6D2C81BD" w14:textId="2B027C15" w:rsidR="0037601B" w:rsidRDefault="0037601B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974283" w:rsidRPr="00974283">
        <w:rPr>
          <w:bCs/>
          <w:iCs/>
          <w:sz w:val="24"/>
          <w:szCs w:val="24"/>
        </w:rPr>
        <w:t>08</w:t>
      </w:r>
      <w:r w:rsidRPr="00974283">
        <w:rPr>
          <w:bCs/>
          <w:iCs/>
          <w:sz w:val="24"/>
          <w:szCs w:val="24"/>
        </w:rPr>
        <w:t>.0</w:t>
      </w:r>
      <w:r w:rsidR="00974283" w:rsidRPr="00974283">
        <w:rPr>
          <w:bCs/>
          <w:iCs/>
          <w:sz w:val="24"/>
          <w:szCs w:val="24"/>
        </w:rPr>
        <w:t>8</w:t>
      </w:r>
      <w:r w:rsidRPr="00974283">
        <w:rPr>
          <w:bCs/>
          <w:iCs/>
          <w:sz w:val="24"/>
          <w:szCs w:val="24"/>
        </w:rPr>
        <w:t>.2025 № ЕД/</w:t>
      </w:r>
      <w:r w:rsidR="00974283" w:rsidRPr="00974283">
        <w:rPr>
          <w:bCs/>
          <w:iCs/>
          <w:sz w:val="24"/>
          <w:szCs w:val="24"/>
        </w:rPr>
        <w:t>3623</w:t>
      </w:r>
      <w:r w:rsidRPr="00974283">
        <w:rPr>
          <w:bCs/>
          <w:iCs/>
          <w:sz w:val="24"/>
          <w:szCs w:val="24"/>
        </w:rPr>
        <w:t xml:space="preserve">/25, </w:t>
      </w:r>
      <w:r w:rsidRPr="006F4779">
        <w:rPr>
          <w:bCs/>
          <w:iCs/>
          <w:sz w:val="24"/>
          <w:szCs w:val="24"/>
        </w:rPr>
        <w:t>что информация о планируемом решении в рамках текущего вопроса</w:t>
      </w:r>
      <w:r w:rsidRPr="0037601B">
        <w:rPr>
          <w:bCs/>
          <w:iCs/>
          <w:sz w:val="24"/>
          <w:szCs w:val="24"/>
        </w:rPr>
        <w:t xml:space="preserve"> принята к сведению.</w:t>
      </w:r>
    </w:p>
    <w:p w14:paraId="2FA8F36E" w14:textId="5A4BB0B7" w:rsidR="006F4779" w:rsidRPr="0037601B" w:rsidRDefault="00D02791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МУП «Елюзань»</w:t>
      </w:r>
      <w:r w:rsidR="006F4779">
        <w:rPr>
          <w:sz w:val="24"/>
          <w:szCs w:val="24"/>
        </w:rPr>
        <w:t xml:space="preserve"> с проектом приказа ознакомлено, согласно.</w:t>
      </w:r>
    </w:p>
    <w:p w14:paraId="3D5AFD0A" w14:textId="6C1431FD" w:rsidR="00640AE8" w:rsidRPr="004F07ED" w:rsidRDefault="00B84A34" w:rsidP="002A74C3">
      <w:pPr>
        <w:ind w:firstLine="680"/>
        <w:jc w:val="both"/>
        <w:rPr>
          <w:sz w:val="24"/>
          <w:szCs w:val="24"/>
        </w:rPr>
      </w:pPr>
      <w:r w:rsidRPr="00706FD7">
        <w:rPr>
          <w:b/>
          <w:sz w:val="24"/>
          <w:szCs w:val="24"/>
        </w:rPr>
        <w:t>Сагайдачный Д.И.</w:t>
      </w:r>
      <w:r w:rsidRPr="00706FD7">
        <w:rPr>
          <w:sz w:val="24"/>
          <w:szCs w:val="24"/>
        </w:rPr>
        <w:t xml:space="preserve"> предложил вынести на голосование утверждение одноставочного </w:t>
      </w:r>
      <w:r w:rsidRPr="00706FD7">
        <w:rPr>
          <w:rFonts w:eastAsia="Calibri"/>
          <w:sz w:val="24"/>
          <w:szCs w:val="24"/>
        </w:rPr>
        <w:t xml:space="preserve">тарифа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D02791">
        <w:rPr>
          <w:sz w:val="24"/>
          <w:szCs w:val="24"/>
        </w:rPr>
        <w:t>МУП «Елюзань»</w:t>
      </w:r>
      <w:r w:rsidR="004F07ED" w:rsidRPr="00706FD7">
        <w:rPr>
          <w:sz w:val="24"/>
          <w:szCs w:val="24"/>
        </w:rPr>
        <w:t xml:space="preserve"> на территории </w:t>
      </w:r>
      <w:r w:rsidR="00D02791">
        <w:rPr>
          <w:sz w:val="24"/>
          <w:szCs w:val="24"/>
        </w:rPr>
        <w:t>Среднеелюзанского сельсовета Городищенского</w:t>
      </w:r>
      <w:r w:rsidR="004F07ED" w:rsidRPr="00901D95">
        <w:rPr>
          <w:sz w:val="24"/>
          <w:szCs w:val="24"/>
        </w:rPr>
        <w:t xml:space="preserve">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706FD7">
        <w:rPr>
          <w:sz w:val="24"/>
          <w:szCs w:val="24"/>
        </w:rPr>
        <w:t xml:space="preserve"> </w:t>
      </w:r>
      <w:r w:rsidR="00640AE8" w:rsidRPr="004F07ED">
        <w:rPr>
          <w:sz w:val="24"/>
          <w:szCs w:val="24"/>
        </w:rPr>
        <w:t xml:space="preserve">с </w:t>
      </w:r>
      <w:r w:rsidR="00640AE8">
        <w:rPr>
          <w:sz w:val="24"/>
          <w:szCs w:val="24"/>
        </w:rPr>
        <w:t>08</w:t>
      </w:r>
      <w:r w:rsidR="00640AE8" w:rsidRPr="004F07ED">
        <w:rPr>
          <w:sz w:val="24"/>
          <w:szCs w:val="24"/>
        </w:rPr>
        <w:t xml:space="preserve"> </w:t>
      </w:r>
      <w:r w:rsidR="00640AE8">
        <w:rPr>
          <w:sz w:val="24"/>
          <w:szCs w:val="24"/>
        </w:rPr>
        <w:t>августа</w:t>
      </w:r>
      <w:r w:rsidR="00640AE8" w:rsidRPr="004F07ED">
        <w:rPr>
          <w:sz w:val="24"/>
          <w:szCs w:val="24"/>
        </w:rPr>
        <w:t xml:space="preserve"> 2025 года по 31 декабря 2025 года </w:t>
      </w:r>
      <w:r w:rsidR="00645D49">
        <w:rPr>
          <w:sz w:val="24"/>
          <w:szCs w:val="24"/>
        </w:rPr>
        <w:t>в размере</w:t>
      </w:r>
      <w:r w:rsidR="00640AE8" w:rsidRPr="004F07ED">
        <w:rPr>
          <w:sz w:val="24"/>
          <w:szCs w:val="24"/>
        </w:rPr>
        <w:t xml:space="preserve"> </w:t>
      </w:r>
      <w:r w:rsidR="00640AE8">
        <w:rPr>
          <w:sz w:val="24"/>
          <w:szCs w:val="24"/>
        </w:rPr>
        <w:t>35,58</w:t>
      </w:r>
      <w:r w:rsidR="00640AE8" w:rsidRPr="004F07ED">
        <w:rPr>
          <w:sz w:val="24"/>
          <w:szCs w:val="24"/>
        </w:rPr>
        <w:t xml:space="preserve"> руб. за 1 куб. м (НДС не облагается в соответствии с главой 26.2 Налогового кодекса Российской Федерации).</w:t>
      </w:r>
    </w:p>
    <w:p w14:paraId="1CD129F5" w14:textId="208C9D8F" w:rsidR="00B84A34" w:rsidRPr="00706FD7" w:rsidRDefault="00B84A34" w:rsidP="004F07ED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lastRenderedPageBreak/>
        <w:t>Голосование членов Правления</w:t>
      </w:r>
      <w:r w:rsidRPr="00706FD7">
        <w:rPr>
          <w:sz w:val="24"/>
          <w:szCs w:val="24"/>
        </w:rPr>
        <w:t>: «За» - единогласно.</w:t>
      </w:r>
    </w:p>
    <w:p w14:paraId="66AA3CA0" w14:textId="30E67481" w:rsidR="00640AE8" w:rsidRPr="004F07ED" w:rsidRDefault="00B84A34" w:rsidP="002A74C3">
      <w:pPr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Постановили</w:t>
      </w:r>
      <w:r w:rsidRPr="00706FD7">
        <w:rPr>
          <w:sz w:val="24"/>
          <w:szCs w:val="24"/>
        </w:rPr>
        <w:t xml:space="preserve">: </w:t>
      </w:r>
      <w:r w:rsidRPr="00706FD7">
        <w:rPr>
          <w:rFonts w:eastAsia="Calibri"/>
          <w:sz w:val="24"/>
          <w:szCs w:val="24"/>
        </w:rPr>
        <w:t xml:space="preserve">установить одноставочный тариф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D02791">
        <w:rPr>
          <w:sz w:val="24"/>
          <w:szCs w:val="24"/>
        </w:rPr>
        <w:t>МУП «Елюзань»</w:t>
      </w:r>
      <w:r w:rsidR="004F07ED" w:rsidRPr="00706FD7">
        <w:rPr>
          <w:sz w:val="24"/>
          <w:szCs w:val="24"/>
        </w:rPr>
        <w:t xml:space="preserve"> на территории </w:t>
      </w:r>
      <w:r w:rsidR="00D02791">
        <w:rPr>
          <w:sz w:val="24"/>
          <w:szCs w:val="24"/>
        </w:rPr>
        <w:t>Среднеелюзанского сельсовета Городищенского</w:t>
      </w:r>
      <w:r w:rsidR="004F07ED" w:rsidRPr="00901D95">
        <w:rPr>
          <w:sz w:val="24"/>
          <w:szCs w:val="24"/>
        </w:rPr>
        <w:t xml:space="preserve">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706FD7">
        <w:rPr>
          <w:sz w:val="24"/>
          <w:szCs w:val="24"/>
        </w:rPr>
        <w:t xml:space="preserve"> </w:t>
      </w:r>
      <w:r w:rsidR="00645D49">
        <w:rPr>
          <w:sz w:val="24"/>
          <w:szCs w:val="24"/>
        </w:rPr>
        <w:t xml:space="preserve">с </w:t>
      </w:r>
      <w:r w:rsidR="002A74C3">
        <w:rPr>
          <w:sz w:val="24"/>
          <w:szCs w:val="24"/>
        </w:rPr>
        <w:t>0</w:t>
      </w:r>
      <w:r w:rsidR="00640AE8">
        <w:rPr>
          <w:sz w:val="24"/>
          <w:szCs w:val="24"/>
        </w:rPr>
        <w:t>8</w:t>
      </w:r>
      <w:r w:rsidR="00640AE8" w:rsidRPr="004F07ED">
        <w:rPr>
          <w:sz w:val="24"/>
          <w:szCs w:val="24"/>
        </w:rPr>
        <w:t xml:space="preserve"> </w:t>
      </w:r>
      <w:r w:rsidR="00640AE8">
        <w:rPr>
          <w:sz w:val="24"/>
          <w:szCs w:val="24"/>
        </w:rPr>
        <w:t>августа</w:t>
      </w:r>
      <w:r w:rsidR="00640AE8" w:rsidRPr="004F07ED">
        <w:rPr>
          <w:sz w:val="24"/>
          <w:szCs w:val="24"/>
        </w:rPr>
        <w:t xml:space="preserve"> 2025 года по 31 декабря 2025 года в размере </w:t>
      </w:r>
      <w:r w:rsidR="00640AE8">
        <w:rPr>
          <w:sz w:val="24"/>
          <w:szCs w:val="24"/>
        </w:rPr>
        <w:t>35,58</w:t>
      </w:r>
      <w:r w:rsidR="00640AE8" w:rsidRPr="004F07ED">
        <w:rPr>
          <w:sz w:val="24"/>
          <w:szCs w:val="24"/>
        </w:rPr>
        <w:t xml:space="preserve"> руб. за 1 куб. м (НДС не облагается в соответствии с главой 26.2 Налогового кодекса Российской Федерации).</w:t>
      </w:r>
    </w:p>
    <w:p w14:paraId="113635B0" w14:textId="33F23F15" w:rsidR="002F0B16" w:rsidRDefault="002F0B16" w:rsidP="0009615B">
      <w:pPr>
        <w:ind w:firstLine="680"/>
        <w:jc w:val="both"/>
        <w:rPr>
          <w:sz w:val="24"/>
          <w:szCs w:val="24"/>
        </w:rPr>
      </w:pPr>
    </w:p>
    <w:p w14:paraId="70E9719F" w14:textId="48B1577A" w:rsidR="003E22B6" w:rsidRPr="003E22B6" w:rsidRDefault="00234E17" w:rsidP="00234E17">
      <w:pPr>
        <w:ind w:firstLine="709"/>
        <w:jc w:val="both"/>
        <w:rPr>
          <w:sz w:val="24"/>
          <w:szCs w:val="24"/>
        </w:rPr>
      </w:pPr>
      <w:bookmarkStart w:id="0" w:name="_Hlk204787867"/>
      <w:r>
        <w:rPr>
          <w:b/>
          <w:sz w:val="24"/>
          <w:szCs w:val="24"/>
        </w:rPr>
        <w:t xml:space="preserve">2. </w:t>
      </w:r>
      <w:r w:rsidR="003E22B6" w:rsidRPr="003E22B6">
        <w:rPr>
          <w:b/>
          <w:sz w:val="24"/>
          <w:szCs w:val="24"/>
        </w:rPr>
        <w:t>Андреева Н.М.</w:t>
      </w:r>
      <w:r w:rsidR="003E22B6" w:rsidRPr="003E22B6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МКП «Исток»</w:t>
      </w:r>
      <w:r w:rsidR="003E22B6" w:rsidRPr="003E22B6">
        <w:rPr>
          <w:sz w:val="24"/>
          <w:szCs w:val="24"/>
        </w:rPr>
        <w:t xml:space="preserve"> по вопросу установления одноставочного тарифа на питьевую воду (питьевое водоснабжение) на территории </w:t>
      </w:r>
      <w:r w:rsidR="00405EF2"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Ильмино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Ильминского</w:t>
      </w:r>
      <w:proofErr w:type="spellEnd"/>
      <w:r>
        <w:rPr>
          <w:sz w:val="24"/>
          <w:szCs w:val="24"/>
        </w:rPr>
        <w:t xml:space="preserve"> сельсовета Никольского</w:t>
      </w:r>
      <w:r w:rsidR="003E22B6" w:rsidRPr="003E22B6">
        <w:rPr>
          <w:sz w:val="24"/>
          <w:szCs w:val="24"/>
        </w:rPr>
        <w:t xml:space="preserve"> района Пензенской области на 2025 год.</w:t>
      </w:r>
    </w:p>
    <w:p w14:paraId="46B8C1B8" w14:textId="77777777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8EC8B7B" w14:textId="5346C3E3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В соответствии с пунктом 38 </w:t>
      </w:r>
      <w:r w:rsidR="002A74C3">
        <w:rPr>
          <w:sz w:val="24"/>
          <w:szCs w:val="24"/>
        </w:rPr>
        <w:t>Основ</w:t>
      </w:r>
      <w:r w:rsidRPr="003E22B6">
        <w:rPr>
          <w:sz w:val="24"/>
          <w:szCs w:val="24"/>
        </w:rPr>
        <w:t xml:space="preserve"> при применении метода экономически обоснованных расходов (затрат) НВВ </w:t>
      </w:r>
      <w:r w:rsidR="00234E17"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административных расходов и расходов, связанных с уплатой налогов и сборов. </w:t>
      </w:r>
    </w:p>
    <w:p w14:paraId="65AFCD24" w14:textId="77777777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3E22B6">
        <w:rPr>
          <w:b/>
          <w:sz w:val="24"/>
          <w:szCs w:val="24"/>
        </w:rPr>
        <w:t xml:space="preserve"> </w:t>
      </w:r>
      <w:r w:rsidRPr="003E22B6">
        <w:rPr>
          <w:sz w:val="24"/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3E22B6" w:rsidRPr="003E22B6" w14:paraId="12FC35C6" w14:textId="77777777" w:rsidTr="0030339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7A7" w14:textId="77777777" w:rsidR="003E22B6" w:rsidRPr="003E22B6" w:rsidRDefault="003E22B6" w:rsidP="00234E17">
            <w:pPr>
              <w:ind w:firstLine="742"/>
              <w:jc w:val="both"/>
            </w:pPr>
            <w:r w:rsidRPr="003E22B6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8E3" w14:textId="77777777" w:rsidR="003E22B6" w:rsidRPr="003E22B6" w:rsidRDefault="003E22B6" w:rsidP="003E22B6">
            <w:pPr>
              <w:jc w:val="both"/>
            </w:pPr>
            <w:r w:rsidRPr="003E22B6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A506C" w14:textId="77777777" w:rsidR="003E22B6" w:rsidRPr="003E22B6" w:rsidRDefault="003E22B6" w:rsidP="003E22B6">
            <w:pPr>
              <w:jc w:val="both"/>
            </w:pPr>
            <w:r w:rsidRPr="003E22B6">
              <w:t>Величина показателя</w:t>
            </w:r>
          </w:p>
        </w:tc>
      </w:tr>
      <w:tr w:rsidR="003E22B6" w:rsidRPr="003E22B6" w14:paraId="6CBDA29B" w14:textId="77777777" w:rsidTr="0030339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E0A" w14:textId="77777777" w:rsidR="003E22B6" w:rsidRPr="003E22B6" w:rsidRDefault="003E22B6" w:rsidP="003E22B6">
            <w:pPr>
              <w:jc w:val="both"/>
            </w:pPr>
            <w:r w:rsidRPr="003E22B6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AFEA" w14:textId="77777777" w:rsidR="003E22B6" w:rsidRPr="003E22B6" w:rsidRDefault="003E22B6" w:rsidP="003E22B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8EA2" w14:textId="0E3DE659" w:rsidR="003E22B6" w:rsidRPr="003E22B6" w:rsidRDefault="00234E17" w:rsidP="00405EF2">
            <w:pPr>
              <w:jc w:val="center"/>
            </w:pPr>
            <w:r w:rsidRPr="00234E17">
              <w:t>428,78</w:t>
            </w:r>
          </w:p>
        </w:tc>
      </w:tr>
      <w:tr w:rsidR="003E22B6" w:rsidRPr="003E22B6" w14:paraId="6E830917" w14:textId="77777777" w:rsidTr="0030339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8A2" w14:textId="77777777" w:rsidR="003E22B6" w:rsidRPr="003E22B6" w:rsidRDefault="003E22B6" w:rsidP="00234E17">
            <w:pPr>
              <w:ind w:firstLine="742"/>
              <w:jc w:val="both"/>
            </w:pPr>
            <w:r w:rsidRPr="003E22B6">
              <w:t>Расходы на сырье и материалы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D04D" w14:textId="77777777" w:rsidR="003E22B6" w:rsidRPr="003E22B6" w:rsidRDefault="003E22B6" w:rsidP="003E22B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0DE76" w14:textId="4DA94300" w:rsidR="003E22B6" w:rsidRPr="003E22B6" w:rsidRDefault="00234E17" w:rsidP="00405EF2">
            <w:pPr>
              <w:jc w:val="center"/>
            </w:pPr>
            <w:r w:rsidRPr="00234E17">
              <w:t>0</w:t>
            </w:r>
          </w:p>
        </w:tc>
      </w:tr>
      <w:tr w:rsidR="003E22B6" w:rsidRPr="003E22B6" w14:paraId="4AF1F03B" w14:textId="77777777" w:rsidTr="0030339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859" w14:textId="77777777" w:rsidR="003E22B6" w:rsidRPr="003E22B6" w:rsidRDefault="003E22B6" w:rsidP="00234E17">
            <w:pPr>
              <w:ind w:firstLine="742"/>
              <w:jc w:val="both"/>
            </w:pPr>
            <w:r w:rsidRPr="003E22B6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4E1" w14:textId="77777777" w:rsidR="003E22B6" w:rsidRPr="003E22B6" w:rsidRDefault="003E22B6" w:rsidP="003E22B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44758" w14:textId="4C6A6143" w:rsidR="003E22B6" w:rsidRPr="003E22B6" w:rsidRDefault="00234E17" w:rsidP="00405EF2">
            <w:pPr>
              <w:jc w:val="center"/>
            </w:pPr>
            <w:r w:rsidRPr="00234E17">
              <w:t>176,059</w:t>
            </w:r>
          </w:p>
        </w:tc>
      </w:tr>
      <w:tr w:rsidR="00234E17" w:rsidRPr="003E22B6" w14:paraId="03028DF4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EB9D" w14:textId="77777777" w:rsidR="00234E17" w:rsidRPr="003E22B6" w:rsidRDefault="00234E17" w:rsidP="00234E17">
            <w:pPr>
              <w:ind w:firstLine="742"/>
              <w:jc w:val="both"/>
            </w:pPr>
            <w:r w:rsidRPr="003E22B6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A41" w14:textId="77777777" w:rsidR="00234E17" w:rsidRPr="003E22B6" w:rsidRDefault="00234E17" w:rsidP="00234E17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62FBE" w14:textId="4F5559DD" w:rsidR="00234E17" w:rsidRPr="003E22B6" w:rsidRDefault="00234E17" w:rsidP="00405EF2">
            <w:pPr>
              <w:jc w:val="center"/>
            </w:pPr>
            <w:r w:rsidRPr="00234E17">
              <w:t>194,10</w:t>
            </w:r>
          </w:p>
        </w:tc>
      </w:tr>
      <w:tr w:rsidR="00234E17" w:rsidRPr="003E22B6" w14:paraId="5292923D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BEC" w14:textId="77777777" w:rsidR="00234E17" w:rsidRPr="003E22B6" w:rsidRDefault="00234E17" w:rsidP="00234E17">
            <w:pPr>
              <w:ind w:firstLine="742"/>
              <w:jc w:val="both"/>
            </w:pPr>
            <w:r w:rsidRPr="003E22B6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BA4" w14:textId="77777777" w:rsidR="00234E17" w:rsidRPr="003E22B6" w:rsidRDefault="00234E17" w:rsidP="00234E17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D682E" w14:textId="00891F18" w:rsidR="00234E17" w:rsidRPr="003E22B6" w:rsidRDefault="00234E17" w:rsidP="00405EF2">
            <w:pPr>
              <w:jc w:val="center"/>
            </w:pPr>
            <w:r w:rsidRPr="00234E17">
              <w:t>58,62</w:t>
            </w:r>
          </w:p>
        </w:tc>
      </w:tr>
      <w:tr w:rsidR="00234E17" w:rsidRPr="003E22B6" w14:paraId="33A5B3C4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705" w14:textId="77777777" w:rsidR="00234E17" w:rsidRPr="003E22B6" w:rsidRDefault="00234E17" w:rsidP="00234E17">
            <w:pPr>
              <w:jc w:val="both"/>
            </w:pPr>
            <w:r w:rsidRPr="003E22B6">
              <w:t>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3FC" w14:textId="77777777" w:rsidR="00234E17" w:rsidRPr="003E22B6" w:rsidRDefault="00234E17" w:rsidP="00234E17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E83DE" w14:textId="4887F1CF" w:rsidR="00234E17" w:rsidRPr="003E22B6" w:rsidRDefault="00234E17" w:rsidP="00405EF2">
            <w:pPr>
              <w:jc w:val="center"/>
            </w:pPr>
            <w:r w:rsidRPr="00234E17">
              <w:t>233,09</w:t>
            </w:r>
          </w:p>
        </w:tc>
      </w:tr>
      <w:tr w:rsidR="003F4677" w:rsidRPr="003E22B6" w14:paraId="04552B02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10E" w14:textId="77777777" w:rsidR="003F4677" w:rsidRPr="003E22B6" w:rsidRDefault="003F4677" w:rsidP="003F4677">
            <w:pPr>
              <w:ind w:firstLine="742"/>
              <w:jc w:val="both"/>
            </w:pPr>
            <w:r w:rsidRPr="003E22B6">
              <w:t>Расходы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189" w14:textId="77777777" w:rsidR="003F4677" w:rsidRPr="003E22B6" w:rsidRDefault="003F4677" w:rsidP="003F4677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3A86" w14:textId="2DF7FBED" w:rsidR="003F4677" w:rsidRPr="003E22B6" w:rsidRDefault="00B13A2C" w:rsidP="003F4677">
            <w:pPr>
              <w:jc w:val="center"/>
            </w:pPr>
            <w:r>
              <w:t>179,03</w:t>
            </w:r>
          </w:p>
        </w:tc>
      </w:tr>
      <w:tr w:rsidR="003F4677" w:rsidRPr="003E22B6" w14:paraId="5CE4E0E8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6CF" w14:textId="77777777" w:rsidR="003F4677" w:rsidRPr="003E22B6" w:rsidRDefault="003F4677" w:rsidP="003F4677">
            <w:pPr>
              <w:ind w:firstLine="742"/>
              <w:jc w:val="both"/>
            </w:pPr>
            <w:r w:rsidRPr="003E22B6">
              <w:t>Страховые взносы на обязательное социальное страхование административно-управленческого персонала, в том числе налоги и сборы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6E0C" w14:textId="77777777" w:rsidR="003F4677" w:rsidRPr="003E22B6" w:rsidRDefault="003F4677" w:rsidP="003F4677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9CF3" w14:textId="16000ECD" w:rsidR="003F4677" w:rsidRPr="003E22B6" w:rsidRDefault="00B13A2C" w:rsidP="003F4677">
            <w:pPr>
              <w:jc w:val="center"/>
            </w:pPr>
            <w:r>
              <w:t>54,06</w:t>
            </w:r>
          </w:p>
        </w:tc>
      </w:tr>
      <w:tr w:rsidR="003F4677" w:rsidRPr="003E22B6" w14:paraId="4F62DE55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AC5" w14:textId="77777777" w:rsidR="003F4677" w:rsidRPr="003E22B6" w:rsidRDefault="003F4677" w:rsidP="003F4677">
            <w:pPr>
              <w:jc w:val="both"/>
            </w:pPr>
            <w:r w:rsidRPr="003E22B6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BD2" w14:textId="77777777" w:rsidR="003F4677" w:rsidRPr="003E22B6" w:rsidRDefault="003F4677" w:rsidP="003F4677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30279" w14:textId="177AE56D" w:rsidR="003F4677" w:rsidRPr="003E22B6" w:rsidRDefault="00B13A2C" w:rsidP="003F4677">
            <w:pPr>
              <w:jc w:val="center"/>
            </w:pPr>
            <w:r>
              <w:t>4,90</w:t>
            </w:r>
          </w:p>
        </w:tc>
      </w:tr>
      <w:tr w:rsidR="003F4677" w:rsidRPr="003E22B6" w14:paraId="6876F0DF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3ED1" w14:textId="77777777" w:rsidR="003F4677" w:rsidRPr="003E22B6" w:rsidRDefault="003F4677" w:rsidP="003F4677">
            <w:pPr>
              <w:ind w:firstLine="742"/>
              <w:jc w:val="both"/>
            </w:pPr>
            <w:r w:rsidRPr="003E22B6">
              <w:t>Водный налог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CE5" w14:textId="77777777" w:rsidR="003F4677" w:rsidRPr="003E22B6" w:rsidRDefault="003F4677" w:rsidP="003F4677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BA648" w14:textId="203714EA" w:rsidR="003F4677" w:rsidRPr="003E22B6" w:rsidRDefault="00B13A2C" w:rsidP="003F4677">
            <w:pPr>
              <w:jc w:val="center"/>
            </w:pPr>
            <w:r>
              <w:t>4,90</w:t>
            </w:r>
          </w:p>
        </w:tc>
      </w:tr>
      <w:tr w:rsidR="003E22B6" w:rsidRPr="003E22B6" w14:paraId="08C0DA5A" w14:textId="77777777" w:rsidTr="00303396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740" w14:textId="77777777" w:rsidR="003E22B6" w:rsidRPr="003E22B6" w:rsidRDefault="003E22B6" w:rsidP="003E22B6">
            <w:pPr>
              <w:jc w:val="both"/>
            </w:pPr>
            <w:r w:rsidRPr="003E22B6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CBB" w14:textId="77777777" w:rsidR="003E22B6" w:rsidRPr="003E22B6" w:rsidRDefault="003E22B6" w:rsidP="003E22B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37A8B" w14:textId="040336C4" w:rsidR="003E22B6" w:rsidRPr="003E22B6" w:rsidRDefault="00B13A2C" w:rsidP="00405EF2">
            <w:pPr>
              <w:jc w:val="center"/>
            </w:pPr>
            <w:r>
              <w:t>666,77</w:t>
            </w:r>
          </w:p>
        </w:tc>
      </w:tr>
    </w:tbl>
    <w:p w14:paraId="6985567B" w14:textId="77777777" w:rsidR="003E22B6" w:rsidRPr="003E22B6" w:rsidRDefault="003E22B6" w:rsidP="003E22B6">
      <w:pPr>
        <w:jc w:val="both"/>
        <w:rPr>
          <w:sz w:val="24"/>
          <w:szCs w:val="24"/>
        </w:rPr>
      </w:pPr>
    </w:p>
    <w:p w14:paraId="3B5397D5" w14:textId="6C272BAD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Объем отпуска воды принят в размере </w:t>
      </w:r>
      <w:r w:rsidR="00B13A2C">
        <w:rPr>
          <w:sz w:val="24"/>
          <w:szCs w:val="24"/>
        </w:rPr>
        <w:t>14,756</w:t>
      </w:r>
      <w:r w:rsidR="003F4677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B13A2C">
        <w:rPr>
          <w:sz w:val="24"/>
          <w:szCs w:val="24"/>
        </w:rPr>
        <w:t>18,025</w:t>
      </w:r>
      <w:r w:rsidR="003F4677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тыс. кВт·ч.</w:t>
      </w:r>
    </w:p>
    <w:p w14:paraId="10F4967B" w14:textId="42BDE13B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234E17">
        <w:rPr>
          <w:sz w:val="24"/>
          <w:szCs w:val="24"/>
        </w:rPr>
        <w:t xml:space="preserve">                    МКП «Исток»</w:t>
      </w:r>
      <w:r w:rsidRPr="003E22B6">
        <w:rPr>
          <w:sz w:val="24"/>
          <w:szCs w:val="24"/>
        </w:rPr>
        <w:t xml:space="preserve"> в предложении об установлении тарифа на 2025 год:</w:t>
      </w:r>
    </w:p>
    <w:p w14:paraId="123DA6D5" w14:textId="5B7F52DB" w:rsidR="003E22B6" w:rsidRDefault="003E22B6" w:rsidP="00234E17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B13A2C">
        <w:rPr>
          <w:sz w:val="24"/>
          <w:szCs w:val="24"/>
        </w:rPr>
        <w:t>1,3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6F0CD21C" w14:textId="77777777" w:rsidR="00405EF2" w:rsidRDefault="00405EF2" w:rsidP="00405EF2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05EF2">
        <w:rPr>
          <w:sz w:val="24"/>
          <w:szCs w:val="24"/>
        </w:rPr>
        <w:t>асходы на оплату работ и услуг, выполняемых сторонними организациями</w:t>
      </w:r>
      <w:r>
        <w:rPr>
          <w:sz w:val="24"/>
          <w:szCs w:val="24"/>
        </w:rPr>
        <w:t xml:space="preserve"> в размере 24,0 тыс.руб. </w:t>
      </w:r>
      <w:r w:rsidRPr="003E22B6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73849884" w14:textId="77777777" w:rsidR="00405EF2" w:rsidRDefault="00405EF2" w:rsidP="00405EF2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проведение лабораторных анализов воды в размере 28,0 тыс. руб. </w:t>
      </w:r>
      <w:r w:rsidRPr="003E22B6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0F9F6F04" w14:textId="14D15B4B" w:rsidR="003E22B6" w:rsidRPr="003E22B6" w:rsidRDefault="003E22B6" w:rsidP="00234E1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 w:rsidR="00B13A2C">
        <w:rPr>
          <w:sz w:val="24"/>
          <w:szCs w:val="24"/>
        </w:rPr>
        <w:t>187,62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27299A2" w14:textId="5AA93D9F" w:rsidR="003E22B6" w:rsidRPr="003E22B6" w:rsidRDefault="003E22B6" w:rsidP="00234E1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расходы </w:t>
      </w:r>
      <w:r w:rsidR="005716C6">
        <w:rPr>
          <w:sz w:val="24"/>
          <w:szCs w:val="24"/>
        </w:rPr>
        <w:t>по уплате</w:t>
      </w:r>
      <w:r w:rsidRPr="003E22B6">
        <w:rPr>
          <w:sz w:val="24"/>
          <w:szCs w:val="24"/>
        </w:rPr>
        <w:t xml:space="preserve"> страховы</w:t>
      </w:r>
      <w:r w:rsidR="005716C6">
        <w:rPr>
          <w:sz w:val="24"/>
          <w:szCs w:val="24"/>
        </w:rPr>
        <w:t>х</w:t>
      </w:r>
      <w:r w:rsidRPr="003E22B6">
        <w:rPr>
          <w:sz w:val="24"/>
          <w:szCs w:val="24"/>
        </w:rPr>
        <w:t xml:space="preserve"> взнос</w:t>
      </w:r>
      <w:r w:rsidR="005716C6">
        <w:rPr>
          <w:sz w:val="24"/>
          <w:szCs w:val="24"/>
        </w:rPr>
        <w:t>ов</w:t>
      </w:r>
      <w:r w:rsidRPr="003E22B6">
        <w:rPr>
          <w:sz w:val="24"/>
          <w:szCs w:val="24"/>
        </w:rPr>
        <w:t xml:space="preserve"> на обязательное социальное страхование административно-управленческого персонала, в том числе налоги и сборы в размере </w:t>
      </w:r>
      <w:r w:rsidR="00B13A2C">
        <w:rPr>
          <w:sz w:val="24"/>
          <w:szCs w:val="24"/>
        </w:rPr>
        <w:t>1</w:t>
      </w:r>
      <w:r w:rsidR="00901553">
        <w:rPr>
          <w:sz w:val="24"/>
          <w:szCs w:val="24"/>
        </w:rPr>
        <w:t>44,11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17CC9FF" w14:textId="1CAAC033" w:rsidR="003E22B6" w:rsidRPr="003E22B6" w:rsidRDefault="00405EF2" w:rsidP="00234E1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обучение персонала</w:t>
      </w:r>
      <w:r w:rsidR="003E22B6" w:rsidRPr="003E22B6">
        <w:rPr>
          <w:sz w:val="24"/>
          <w:szCs w:val="24"/>
        </w:rPr>
        <w:t xml:space="preserve"> в размере в размере </w:t>
      </w:r>
      <w:r>
        <w:rPr>
          <w:sz w:val="24"/>
          <w:szCs w:val="24"/>
        </w:rPr>
        <w:t>1,</w:t>
      </w:r>
      <w:r w:rsidR="00B13A2C">
        <w:rPr>
          <w:sz w:val="24"/>
          <w:szCs w:val="24"/>
        </w:rPr>
        <w:t>8</w:t>
      </w:r>
      <w:r w:rsidR="003E22B6"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1B5E1614" w14:textId="4A097C3F" w:rsidR="003E22B6" w:rsidRPr="003E22B6" w:rsidRDefault="003E22B6" w:rsidP="00234E1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расходы по уплате водного налога в размере 0,</w:t>
      </w:r>
      <w:r w:rsidR="00901553">
        <w:rPr>
          <w:sz w:val="24"/>
          <w:szCs w:val="24"/>
        </w:rPr>
        <w:t>1</w:t>
      </w:r>
      <w:r w:rsidR="00B13A2C">
        <w:rPr>
          <w:sz w:val="24"/>
          <w:szCs w:val="24"/>
        </w:rPr>
        <w:t>0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381B9F6" w14:textId="3904CDE0" w:rsidR="003E22B6" w:rsidRPr="003E22B6" w:rsidRDefault="003E22B6" w:rsidP="00234E1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lastRenderedPageBreak/>
        <w:t>расходы</w:t>
      </w:r>
      <w:r w:rsidR="00405EF2">
        <w:rPr>
          <w:sz w:val="24"/>
          <w:szCs w:val="24"/>
        </w:rPr>
        <w:t xml:space="preserve"> по уплате налога на прибыль</w:t>
      </w:r>
      <w:r w:rsidRPr="003E22B6">
        <w:rPr>
          <w:sz w:val="24"/>
          <w:szCs w:val="24"/>
        </w:rPr>
        <w:t xml:space="preserve"> в размере </w:t>
      </w:r>
      <w:r w:rsidR="00B13A2C">
        <w:rPr>
          <w:sz w:val="24"/>
          <w:szCs w:val="24"/>
        </w:rPr>
        <w:t>180,0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 w:rsidR="00405EF2">
        <w:rPr>
          <w:sz w:val="24"/>
          <w:szCs w:val="24"/>
        </w:rPr>
        <w:t>.</w:t>
      </w:r>
    </w:p>
    <w:p w14:paraId="65BB789A" w14:textId="77777777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E22B6" w:rsidRPr="003E22B6" w14:paraId="40C5FDCC" w14:textId="77777777" w:rsidTr="00303396">
        <w:tc>
          <w:tcPr>
            <w:tcW w:w="5529" w:type="dxa"/>
            <w:vMerge w:val="restart"/>
            <w:vAlign w:val="center"/>
          </w:tcPr>
          <w:p w14:paraId="640EA840" w14:textId="77777777" w:rsidR="003E22B6" w:rsidRPr="003E22B6" w:rsidRDefault="003E22B6" w:rsidP="003E22B6">
            <w:pPr>
              <w:jc w:val="both"/>
            </w:pPr>
            <w:r w:rsidRPr="003E22B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21598634" w14:textId="77777777" w:rsidR="003E22B6" w:rsidRPr="003E22B6" w:rsidRDefault="003E22B6" w:rsidP="003E22B6">
            <w:pPr>
              <w:jc w:val="both"/>
            </w:pPr>
            <w:r w:rsidRPr="003E22B6">
              <w:t>Ед. изм.</w:t>
            </w:r>
          </w:p>
        </w:tc>
        <w:tc>
          <w:tcPr>
            <w:tcW w:w="3118" w:type="dxa"/>
            <w:vAlign w:val="center"/>
          </w:tcPr>
          <w:p w14:paraId="027E4266" w14:textId="77777777" w:rsidR="003E22B6" w:rsidRPr="003E22B6" w:rsidRDefault="003E22B6" w:rsidP="00901553">
            <w:pPr>
              <w:jc w:val="center"/>
            </w:pPr>
            <w:r w:rsidRPr="003E22B6">
              <w:t>2025 год</w:t>
            </w:r>
          </w:p>
        </w:tc>
      </w:tr>
      <w:tr w:rsidR="003E22B6" w:rsidRPr="003E22B6" w14:paraId="3E85E2F5" w14:textId="77777777" w:rsidTr="00303396">
        <w:tc>
          <w:tcPr>
            <w:tcW w:w="5529" w:type="dxa"/>
            <w:vMerge/>
            <w:vAlign w:val="center"/>
          </w:tcPr>
          <w:p w14:paraId="06A6648A" w14:textId="77777777" w:rsidR="003E22B6" w:rsidRPr="003E22B6" w:rsidRDefault="003E22B6" w:rsidP="003E22B6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14:paraId="386BBC0E" w14:textId="77777777" w:rsidR="003E22B6" w:rsidRPr="003E22B6" w:rsidRDefault="003E22B6" w:rsidP="003E22B6">
            <w:pPr>
              <w:jc w:val="both"/>
            </w:pPr>
          </w:p>
        </w:tc>
        <w:tc>
          <w:tcPr>
            <w:tcW w:w="3118" w:type="dxa"/>
            <w:vAlign w:val="center"/>
          </w:tcPr>
          <w:p w14:paraId="181A2839" w14:textId="77777777" w:rsidR="003E22B6" w:rsidRPr="003E22B6" w:rsidRDefault="003E22B6" w:rsidP="00901553">
            <w:pPr>
              <w:jc w:val="center"/>
            </w:pPr>
            <w:r w:rsidRPr="003E22B6">
              <w:t>План Министерства</w:t>
            </w:r>
          </w:p>
        </w:tc>
      </w:tr>
      <w:tr w:rsidR="003E22B6" w:rsidRPr="003E22B6" w14:paraId="34EB11C4" w14:textId="77777777" w:rsidTr="00303396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1609916" w14:textId="77777777" w:rsidR="003E22B6" w:rsidRPr="003E22B6" w:rsidRDefault="003E22B6" w:rsidP="003E22B6">
            <w:pPr>
              <w:jc w:val="both"/>
            </w:pPr>
            <w:r w:rsidRPr="003E22B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1DDB0CA" w14:textId="77777777" w:rsidR="003E22B6" w:rsidRPr="003E22B6" w:rsidRDefault="003E22B6" w:rsidP="00901553">
            <w:pPr>
              <w:jc w:val="center"/>
            </w:pPr>
            <w:proofErr w:type="spellStart"/>
            <w:r w:rsidRPr="003E22B6">
              <w:t>тыс.кВт.ч</w:t>
            </w:r>
            <w:proofErr w:type="spellEnd"/>
            <w:r w:rsidRPr="003E22B6">
              <w:t>/год</w:t>
            </w:r>
          </w:p>
        </w:tc>
        <w:tc>
          <w:tcPr>
            <w:tcW w:w="3118" w:type="dxa"/>
            <w:vAlign w:val="center"/>
          </w:tcPr>
          <w:p w14:paraId="10D42062" w14:textId="746FE6A6" w:rsidR="003E22B6" w:rsidRPr="003E22B6" w:rsidRDefault="00B13A2C" w:rsidP="00405EF2">
            <w:pPr>
              <w:jc w:val="center"/>
            </w:pPr>
            <w:r>
              <w:t>18,025</w:t>
            </w:r>
          </w:p>
        </w:tc>
      </w:tr>
      <w:tr w:rsidR="003E22B6" w:rsidRPr="003E22B6" w14:paraId="4213C25A" w14:textId="77777777" w:rsidTr="00303396">
        <w:tc>
          <w:tcPr>
            <w:tcW w:w="5529" w:type="dxa"/>
            <w:vMerge/>
            <w:vAlign w:val="center"/>
          </w:tcPr>
          <w:p w14:paraId="39154E97" w14:textId="77777777" w:rsidR="003E22B6" w:rsidRPr="003E22B6" w:rsidRDefault="003E22B6" w:rsidP="003E22B6">
            <w:pPr>
              <w:jc w:val="both"/>
            </w:pPr>
          </w:p>
        </w:tc>
        <w:tc>
          <w:tcPr>
            <w:tcW w:w="1559" w:type="dxa"/>
            <w:vAlign w:val="center"/>
          </w:tcPr>
          <w:p w14:paraId="0174CE27" w14:textId="77777777" w:rsidR="003E22B6" w:rsidRPr="003E22B6" w:rsidRDefault="003E22B6" w:rsidP="00901553">
            <w:pPr>
              <w:jc w:val="center"/>
            </w:pPr>
            <w:proofErr w:type="spellStart"/>
            <w:r w:rsidRPr="003E22B6">
              <w:t>кВт.ч</w:t>
            </w:r>
            <w:proofErr w:type="spellEnd"/>
            <w:r w:rsidRPr="003E22B6">
              <w:t>/куб.м</w:t>
            </w:r>
          </w:p>
        </w:tc>
        <w:tc>
          <w:tcPr>
            <w:tcW w:w="3118" w:type="dxa"/>
            <w:vAlign w:val="center"/>
          </w:tcPr>
          <w:p w14:paraId="791552BB" w14:textId="063F1FF4" w:rsidR="003E22B6" w:rsidRPr="003E22B6" w:rsidRDefault="00405EF2" w:rsidP="00405EF2">
            <w:pPr>
              <w:jc w:val="center"/>
            </w:pPr>
            <w:r w:rsidRPr="00405EF2">
              <w:t>1,</w:t>
            </w:r>
            <w:r w:rsidR="00B13A2C">
              <w:t>22</w:t>
            </w:r>
          </w:p>
        </w:tc>
      </w:tr>
      <w:tr w:rsidR="003E22B6" w:rsidRPr="003E22B6" w14:paraId="24B913CF" w14:textId="77777777" w:rsidTr="00303396">
        <w:trPr>
          <w:trHeight w:val="189"/>
        </w:trPr>
        <w:tc>
          <w:tcPr>
            <w:tcW w:w="5529" w:type="dxa"/>
            <w:vMerge w:val="restart"/>
          </w:tcPr>
          <w:p w14:paraId="0B13C3CD" w14:textId="77777777" w:rsidR="003E22B6" w:rsidRPr="003E22B6" w:rsidRDefault="003E22B6" w:rsidP="003E22B6">
            <w:pPr>
              <w:jc w:val="both"/>
            </w:pPr>
            <w:r w:rsidRPr="003E22B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04B3F6E" w14:textId="77777777" w:rsidR="003E22B6" w:rsidRPr="003E22B6" w:rsidRDefault="003E22B6" w:rsidP="00901553">
            <w:pPr>
              <w:jc w:val="center"/>
            </w:pPr>
            <w:r w:rsidRPr="003E22B6">
              <w:t>кг/год</w:t>
            </w:r>
          </w:p>
        </w:tc>
        <w:tc>
          <w:tcPr>
            <w:tcW w:w="3118" w:type="dxa"/>
          </w:tcPr>
          <w:p w14:paraId="31CD1C07" w14:textId="77777777" w:rsidR="003E22B6" w:rsidRPr="003E22B6" w:rsidRDefault="003E22B6" w:rsidP="00405EF2">
            <w:pPr>
              <w:jc w:val="center"/>
            </w:pPr>
            <w:r w:rsidRPr="003E22B6">
              <w:t>-</w:t>
            </w:r>
          </w:p>
        </w:tc>
      </w:tr>
      <w:tr w:rsidR="003E22B6" w:rsidRPr="003E22B6" w14:paraId="3D01BAB8" w14:textId="77777777" w:rsidTr="00303396">
        <w:tc>
          <w:tcPr>
            <w:tcW w:w="5529" w:type="dxa"/>
            <w:vMerge/>
          </w:tcPr>
          <w:p w14:paraId="6B39A8D0" w14:textId="77777777" w:rsidR="003E22B6" w:rsidRPr="003E22B6" w:rsidRDefault="003E22B6" w:rsidP="003E22B6">
            <w:pPr>
              <w:jc w:val="both"/>
            </w:pPr>
          </w:p>
        </w:tc>
        <w:tc>
          <w:tcPr>
            <w:tcW w:w="1559" w:type="dxa"/>
          </w:tcPr>
          <w:p w14:paraId="1E0E31BE" w14:textId="77777777" w:rsidR="003E22B6" w:rsidRPr="003E22B6" w:rsidRDefault="003E22B6" w:rsidP="00901553">
            <w:pPr>
              <w:jc w:val="center"/>
            </w:pPr>
            <w:r w:rsidRPr="003E22B6">
              <w:t>г/куб.м (мг/л)</w:t>
            </w:r>
          </w:p>
        </w:tc>
        <w:tc>
          <w:tcPr>
            <w:tcW w:w="3118" w:type="dxa"/>
          </w:tcPr>
          <w:p w14:paraId="21971B5E" w14:textId="77777777" w:rsidR="003E22B6" w:rsidRPr="003E22B6" w:rsidRDefault="003E22B6" w:rsidP="00405EF2">
            <w:pPr>
              <w:jc w:val="center"/>
            </w:pPr>
            <w:r w:rsidRPr="003E22B6">
              <w:t>-</w:t>
            </w:r>
          </w:p>
        </w:tc>
      </w:tr>
    </w:tbl>
    <w:p w14:paraId="0664E8F5" w14:textId="77777777" w:rsidR="003E22B6" w:rsidRPr="003E22B6" w:rsidRDefault="003E22B6" w:rsidP="00405EF2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Норматив потерь питьевой воды не утвержден.</w:t>
      </w:r>
    </w:p>
    <w:p w14:paraId="6849B6C0" w14:textId="77777777" w:rsidR="003E22B6" w:rsidRPr="003E22B6" w:rsidRDefault="003E22B6" w:rsidP="00405EF2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6EF4C2FB" w14:textId="77777777" w:rsidR="003E22B6" w:rsidRPr="003E22B6" w:rsidRDefault="003E22B6" w:rsidP="00405EF2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3E22B6" w:rsidRPr="003E22B6" w14:paraId="6827CF8A" w14:textId="77777777" w:rsidTr="00303396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1237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ABB7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5E3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3E54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 xml:space="preserve">План на </w:t>
            </w:r>
            <w:r w:rsidRPr="003E22B6">
              <w:rPr>
                <w:b/>
                <w:bCs/>
              </w:rPr>
              <w:br/>
              <w:t>2025 год</w:t>
            </w:r>
          </w:p>
        </w:tc>
      </w:tr>
      <w:tr w:rsidR="003E22B6" w:rsidRPr="003E22B6" w14:paraId="313479B7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D5B8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80E5F6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DA58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42DA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</w:tr>
      <w:tr w:rsidR="003E22B6" w:rsidRPr="003E22B6" w14:paraId="05019DFC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3720" w14:textId="77777777" w:rsidR="003E22B6" w:rsidRPr="003E22B6" w:rsidRDefault="003E22B6" w:rsidP="003E22B6">
            <w:pPr>
              <w:jc w:val="both"/>
            </w:pPr>
            <w:r w:rsidRPr="003E22B6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591B5" w14:textId="77777777" w:rsidR="003E22B6" w:rsidRPr="003E22B6" w:rsidRDefault="003E22B6" w:rsidP="003E22B6">
            <w:pPr>
              <w:jc w:val="both"/>
            </w:pPr>
            <w:r w:rsidRPr="003E22B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8062" w14:textId="77777777" w:rsidR="003E22B6" w:rsidRPr="003E22B6" w:rsidRDefault="003E22B6" w:rsidP="00405EF2">
            <w:pPr>
              <w:jc w:val="center"/>
            </w:pPr>
            <w:r w:rsidRPr="003E22B6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0E8D9" w14:textId="3EB9920E" w:rsidR="003E22B6" w:rsidRPr="003E22B6" w:rsidRDefault="003E22B6" w:rsidP="00405EF2">
            <w:pPr>
              <w:jc w:val="center"/>
            </w:pPr>
            <w:r w:rsidRPr="003E22B6">
              <w:t>0,</w:t>
            </w:r>
            <w:r w:rsidR="00405EF2">
              <w:t>2</w:t>
            </w:r>
          </w:p>
        </w:tc>
      </w:tr>
      <w:tr w:rsidR="003E22B6" w:rsidRPr="003E22B6" w14:paraId="5CDB4117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7529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996A9B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8571" w14:textId="5675CD92" w:rsidR="003E22B6" w:rsidRPr="003E22B6" w:rsidRDefault="003E22B6" w:rsidP="00405EF2">
            <w:pPr>
              <w:jc w:val="center"/>
              <w:rPr>
                <w:b/>
                <w:bCs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FE51" w14:textId="77777777" w:rsidR="003E22B6" w:rsidRPr="003E22B6" w:rsidRDefault="003E22B6" w:rsidP="00405EF2">
            <w:pPr>
              <w:jc w:val="center"/>
            </w:pPr>
          </w:p>
        </w:tc>
      </w:tr>
      <w:tr w:rsidR="003E22B6" w:rsidRPr="003E22B6" w14:paraId="226196AC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FD20" w14:textId="77777777" w:rsidR="003E22B6" w:rsidRPr="003E22B6" w:rsidRDefault="003E22B6" w:rsidP="003E22B6">
            <w:pPr>
              <w:jc w:val="both"/>
            </w:pPr>
            <w:r w:rsidRPr="003E22B6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679270" w14:textId="77777777" w:rsidR="003E22B6" w:rsidRPr="003E22B6" w:rsidRDefault="003E22B6" w:rsidP="003E22B6">
            <w:pPr>
              <w:jc w:val="both"/>
            </w:pPr>
            <w:r w:rsidRPr="003E22B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960D" w14:textId="77777777" w:rsidR="003E22B6" w:rsidRPr="003E22B6" w:rsidRDefault="003E22B6" w:rsidP="00405EF2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2F83" w14:textId="77777777" w:rsidR="003E22B6" w:rsidRPr="003E22B6" w:rsidRDefault="003E22B6" w:rsidP="00B13A2C">
            <w:pPr>
              <w:jc w:val="center"/>
            </w:pPr>
            <w:r w:rsidRPr="003E22B6">
              <w:t>0</w:t>
            </w:r>
          </w:p>
        </w:tc>
      </w:tr>
      <w:tr w:rsidR="003E22B6" w:rsidRPr="003E22B6" w14:paraId="2EFA588D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1569" w14:textId="77777777" w:rsidR="003E22B6" w:rsidRPr="003E22B6" w:rsidRDefault="003E22B6" w:rsidP="003E22B6">
            <w:pPr>
              <w:jc w:val="both"/>
            </w:pPr>
            <w:r w:rsidRPr="003E22B6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E81737" w14:textId="77777777" w:rsidR="003E22B6" w:rsidRPr="003E22B6" w:rsidRDefault="003E22B6" w:rsidP="003E22B6">
            <w:pPr>
              <w:jc w:val="both"/>
            </w:pPr>
            <w:r w:rsidRPr="003E22B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6A0E" w14:textId="77777777" w:rsidR="003E22B6" w:rsidRPr="003E22B6" w:rsidRDefault="003E22B6" w:rsidP="00405EF2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6318" w14:textId="77777777" w:rsidR="003E22B6" w:rsidRPr="003E22B6" w:rsidRDefault="003E22B6" w:rsidP="00B13A2C">
            <w:pPr>
              <w:jc w:val="center"/>
            </w:pPr>
            <w:r w:rsidRPr="003E22B6">
              <w:t>0</w:t>
            </w:r>
          </w:p>
        </w:tc>
      </w:tr>
      <w:tr w:rsidR="003E22B6" w:rsidRPr="003E22B6" w14:paraId="3BFE0CAF" w14:textId="77777777" w:rsidTr="00303396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E1FA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A11BF8" w14:textId="77777777" w:rsidR="003E22B6" w:rsidRPr="003E22B6" w:rsidRDefault="003E22B6" w:rsidP="00405EF2">
            <w:pPr>
              <w:rPr>
                <w:b/>
                <w:bCs/>
              </w:rPr>
            </w:pPr>
            <w:r w:rsidRPr="003E22B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E55E" w14:textId="77777777" w:rsidR="003E22B6" w:rsidRPr="003E22B6" w:rsidRDefault="003E22B6" w:rsidP="003E22B6">
            <w:pPr>
              <w:jc w:val="both"/>
            </w:pPr>
          </w:p>
        </w:tc>
      </w:tr>
      <w:tr w:rsidR="003E22B6" w:rsidRPr="003E22B6" w14:paraId="0C8F7796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5EA2" w14:textId="77777777" w:rsidR="003E22B6" w:rsidRPr="003E22B6" w:rsidRDefault="003E22B6" w:rsidP="003E22B6">
            <w:pPr>
              <w:jc w:val="both"/>
            </w:pPr>
            <w:r w:rsidRPr="003E22B6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F02426" w14:textId="77777777" w:rsidR="003E22B6" w:rsidRPr="003E22B6" w:rsidRDefault="003E22B6" w:rsidP="003E22B6">
            <w:pPr>
              <w:jc w:val="both"/>
            </w:pPr>
            <w:r w:rsidRPr="003E22B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A198" w14:textId="77777777" w:rsidR="003E22B6" w:rsidRPr="003E22B6" w:rsidRDefault="003E22B6" w:rsidP="00405EF2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0B41" w14:textId="289C0CDE" w:rsidR="003E22B6" w:rsidRPr="003E22B6" w:rsidRDefault="003E22B6" w:rsidP="00405EF2">
            <w:pPr>
              <w:jc w:val="center"/>
            </w:pPr>
            <w:r w:rsidRPr="003E22B6">
              <w:t>12,</w:t>
            </w:r>
            <w:r w:rsidR="00B13A2C">
              <w:t>22</w:t>
            </w:r>
          </w:p>
        </w:tc>
      </w:tr>
      <w:tr w:rsidR="003E22B6" w:rsidRPr="003E22B6" w14:paraId="11522AD6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6717" w14:textId="77777777" w:rsidR="003E22B6" w:rsidRPr="003E22B6" w:rsidRDefault="003E22B6" w:rsidP="003E22B6">
            <w:pPr>
              <w:jc w:val="both"/>
            </w:pPr>
            <w:r w:rsidRPr="003E22B6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DEE700" w14:textId="77777777" w:rsidR="003E22B6" w:rsidRPr="003E22B6" w:rsidRDefault="003E22B6" w:rsidP="003E22B6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B866" w14:textId="77777777" w:rsidR="003E22B6" w:rsidRPr="003E22B6" w:rsidRDefault="003E22B6" w:rsidP="00405EF2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133E" w14:textId="597180ED" w:rsidR="003E22B6" w:rsidRPr="003E22B6" w:rsidRDefault="00405EF2" w:rsidP="00405EF2">
            <w:pPr>
              <w:jc w:val="center"/>
            </w:pPr>
            <w:r>
              <w:t>1,</w:t>
            </w:r>
            <w:r w:rsidR="00B13A2C">
              <w:t>22</w:t>
            </w:r>
          </w:p>
        </w:tc>
      </w:tr>
      <w:tr w:rsidR="003E22B6" w:rsidRPr="003E22B6" w14:paraId="44A48ACF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0A25" w14:textId="77777777" w:rsidR="003E22B6" w:rsidRPr="003E22B6" w:rsidRDefault="003E22B6" w:rsidP="003E22B6">
            <w:pPr>
              <w:jc w:val="both"/>
            </w:pPr>
            <w:r w:rsidRPr="003E22B6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8BDBF9" w14:textId="77777777" w:rsidR="003E22B6" w:rsidRPr="003E22B6" w:rsidRDefault="003E22B6" w:rsidP="003E22B6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B194" w14:textId="77777777" w:rsidR="003E22B6" w:rsidRPr="003E22B6" w:rsidRDefault="003E22B6" w:rsidP="00405EF2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5799" w14:textId="77777777" w:rsidR="003E22B6" w:rsidRPr="003E22B6" w:rsidRDefault="003E22B6" w:rsidP="00405EF2">
            <w:pPr>
              <w:jc w:val="center"/>
            </w:pPr>
            <w:r w:rsidRPr="003E22B6">
              <w:t>-</w:t>
            </w:r>
          </w:p>
        </w:tc>
      </w:tr>
    </w:tbl>
    <w:p w14:paraId="776DF559" w14:textId="77777777" w:rsidR="003E22B6" w:rsidRPr="003E22B6" w:rsidRDefault="003E22B6" w:rsidP="003E22B6">
      <w:pPr>
        <w:jc w:val="both"/>
        <w:rPr>
          <w:sz w:val="24"/>
          <w:szCs w:val="24"/>
        </w:rPr>
      </w:pPr>
    </w:p>
    <w:p w14:paraId="506A427B" w14:textId="30313810" w:rsidR="003E22B6" w:rsidRPr="003E22B6" w:rsidRDefault="003E22B6" w:rsidP="00405EF2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3E22B6">
        <w:rPr>
          <w:bCs/>
          <w:iCs/>
          <w:sz w:val="24"/>
          <w:szCs w:val="24"/>
        </w:rPr>
        <w:t xml:space="preserve">объектов централизованных систем водоснабжения </w:t>
      </w:r>
      <w:r w:rsidRPr="003E22B6">
        <w:rPr>
          <w:sz w:val="24"/>
          <w:szCs w:val="24"/>
        </w:rPr>
        <w:t xml:space="preserve">утверждены в производственной программе </w:t>
      </w:r>
      <w:r w:rsidR="00234E17"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на 2025 год.</w:t>
      </w:r>
    </w:p>
    <w:p w14:paraId="4C57C414" w14:textId="0D958818" w:rsidR="003E22B6" w:rsidRPr="003E22B6" w:rsidRDefault="003E22B6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234E17"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на территории </w:t>
      </w:r>
      <w:r w:rsidR="00405EF2">
        <w:rPr>
          <w:sz w:val="24"/>
          <w:szCs w:val="24"/>
        </w:rPr>
        <w:t>с</w:t>
      </w:r>
      <w:r w:rsidR="00234E17">
        <w:rPr>
          <w:sz w:val="24"/>
          <w:szCs w:val="24"/>
        </w:rPr>
        <w:t xml:space="preserve">. </w:t>
      </w:r>
      <w:proofErr w:type="spellStart"/>
      <w:r w:rsidR="00B13A2C">
        <w:rPr>
          <w:sz w:val="24"/>
          <w:szCs w:val="24"/>
        </w:rPr>
        <w:t>Ильмино</w:t>
      </w:r>
      <w:proofErr w:type="spellEnd"/>
      <w:r w:rsidR="00234E17">
        <w:rPr>
          <w:sz w:val="24"/>
          <w:szCs w:val="24"/>
        </w:rPr>
        <w:t xml:space="preserve"> </w:t>
      </w:r>
      <w:proofErr w:type="spellStart"/>
      <w:r w:rsidR="00234E17">
        <w:rPr>
          <w:sz w:val="24"/>
          <w:szCs w:val="24"/>
        </w:rPr>
        <w:t>Ильминского</w:t>
      </w:r>
      <w:proofErr w:type="spellEnd"/>
      <w:r w:rsidR="00234E17">
        <w:rPr>
          <w:sz w:val="24"/>
          <w:szCs w:val="24"/>
        </w:rPr>
        <w:t xml:space="preserve"> сельсовета Никольского</w:t>
      </w:r>
      <w:r w:rsidRPr="003E22B6">
        <w:rPr>
          <w:sz w:val="24"/>
          <w:szCs w:val="24"/>
        </w:rPr>
        <w:t xml:space="preserve"> района Пензенской области с </w:t>
      </w:r>
      <w:r w:rsidR="007C07B3">
        <w:rPr>
          <w:sz w:val="24"/>
          <w:szCs w:val="24"/>
        </w:rPr>
        <w:t>08</w:t>
      </w:r>
      <w:r w:rsidRPr="003E22B6">
        <w:rPr>
          <w:sz w:val="24"/>
          <w:szCs w:val="24"/>
        </w:rPr>
        <w:t xml:space="preserve"> </w:t>
      </w:r>
      <w:r w:rsidR="007C07B3">
        <w:rPr>
          <w:sz w:val="24"/>
          <w:szCs w:val="24"/>
        </w:rPr>
        <w:t>августа</w:t>
      </w:r>
      <w:r w:rsidRPr="003E22B6">
        <w:rPr>
          <w:sz w:val="24"/>
          <w:szCs w:val="24"/>
        </w:rPr>
        <w:t xml:space="preserve"> 2025 года по 31 декабря 2025 года </w:t>
      </w:r>
      <w:r w:rsidR="00645D49">
        <w:rPr>
          <w:sz w:val="24"/>
          <w:szCs w:val="24"/>
        </w:rPr>
        <w:t xml:space="preserve">составил </w:t>
      </w:r>
      <w:r w:rsidR="00B13A2C">
        <w:rPr>
          <w:sz w:val="24"/>
          <w:szCs w:val="24"/>
        </w:rPr>
        <w:t>52,22</w:t>
      </w:r>
      <w:r w:rsidRPr="003E22B6">
        <w:rPr>
          <w:sz w:val="24"/>
          <w:szCs w:val="24"/>
        </w:rPr>
        <w:t xml:space="preserve"> руб. за 1 куб. м (без учета НДС); 6</w:t>
      </w:r>
      <w:r w:rsidR="00B13A2C">
        <w:rPr>
          <w:sz w:val="24"/>
          <w:szCs w:val="24"/>
        </w:rPr>
        <w:t>2</w:t>
      </w:r>
      <w:r w:rsidRPr="003E22B6">
        <w:rPr>
          <w:sz w:val="24"/>
          <w:szCs w:val="24"/>
        </w:rPr>
        <w:t>,</w:t>
      </w:r>
      <w:r w:rsidR="00B13A2C">
        <w:rPr>
          <w:sz w:val="24"/>
          <w:szCs w:val="24"/>
        </w:rPr>
        <w:t>6</w:t>
      </w:r>
      <w:r w:rsidR="00901553">
        <w:rPr>
          <w:sz w:val="24"/>
          <w:szCs w:val="24"/>
        </w:rPr>
        <w:t>6</w:t>
      </w:r>
      <w:r w:rsidRPr="003E22B6">
        <w:rPr>
          <w:sz w:val="24"/>
          <w:szCs w:val="24"/>
        </w:rPr>
        <w:t xml:space="preserve"> руб. за 1 куб. м (с учетом НДС).</w:t>
      </w:r>
    </w:p>
    <w:p w14:paraId="5E0A1E56" w14:textId="1AAD349F" w:rsidR="003E22B6" w:rsidRDefault="003E22B6" w:rsidP="003F4677">
      <w:pPr>
        <w:ind w:firstLine="709"/>
        <w:jc w:val="both"/>
        <w:rPr>
          <w:bCs/>
          <w:iCs/>
          <w:sz w:val="24"/>
          <w:szCs w:val="24"/>
        </w:rPr>
      </w:pPr>
      <w:r w:rsidRPr="003E22B6">
        <w:rPr>
          <w:b/>
          <w:bCs/>
          <w:iCs/>
          <w:sz w:val="24"/>
          <w:szCs w:val="24"/>
        </w:rPr>
        <w:t xml:space="preserve">Сагайдачный Д.И. </w:t>
      </w:r>
      <w:r w:rsidRPr="003E22B6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974283" w:rsidRPr="00974283">
        <w:rPr>
          <w:bCs/>
          <w:iCs/>
          <w:sz w:val="24"/>
          <w:szCs w:val="24"/>
        </w:rPr>
        <w:t>08.08.2025 № ЕД/3623/25</w:t>
      </w:r>
      <w:r w:rsidRPr="00974283">
        <w:rPr>
          <w:bCs/>
          <w:iCs/>
          <w:sz w:val="24"/>
          <w:szCs w:val="24"/>
        </w:rPr>
        <w:t xml:space="preserve">, </w:t>
      </w:r>
      <w:r w:rsidRPr="003E22B6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</w:p>
    <w:p w14:paraId="48578B82" w14:textId="18B16E94" w:rsidR="00645D49" w:rsidRPr="0037601B" w:rsidRDefault="00645D49" w:rsidP="00645D49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«Исток» с проектом приказа ознакомлено, согласно.</w:t>
      </w:r>
    </w:p>
    <w:p w14:paraId="379CA325" w14:textId="7AD0CB79" w:rsidR="00B13A2C" w:rsidRDefault="003E22B6" w:rsidP="003F4677">
      <w:pPr>
        <w:ind w:firstLine="709"/>
        <w:jc w:val="both"/>
        <w:rPr>
          <w:sz w:val="24"/>
          <w:szCs w:val="24"/>
        </w:rPr>
      </w:pPr>
      <w:r w:rsidRPr="003E22B6">
        <w:rPr>
          <w:b/>
          <w:sz w:val="24"/>
          <w:szCs w:val="24"/>
        </w:rPr>
        <w:t>Сагайдачный Д.И.</w:t>
      </w:r>
      <w:r w:rsidRPr="003E22B6">
        <w:rPr>
          <w:sz w:val="24"/>
          <w:szCs w:val="24"/>
        </w:rPr>
        <w:t xml:space="preserve"> предложил вынести на голосование утверждение указанного выше одноставочного тарифа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                       </w:t>
      </w:r>
      <w:r w:rsidR="00234E17"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на территории </w:t>
      </w:r>
      <w:r w:rsidR="00B13A2C">
        <w:rPr>
          <w:sz w:val="24"/>
          <w:szCs w:val="24"/>
        </w:rPr>
        <w:t>с</w:t>
      </w:r>
      <w:r w:rsidR="00234E17">
        <w:rPr>
          <w:sz w:val="24"/>
          <w:szCs w:val="24"/>
        </w:rPr>
        <w:t xml:space="preserve">. </w:t>
      </w:r>
      <w:proofErr w:type="spellStart"/>
      <w:r w:rsidR="00234E17">
        <w:rPr>
          <w:sz w:val="24"/>
          <w:szCs w:val="24"/>
        </w:rPr>
        <w:t>Ильмино</w:t>
      </w:r>
      <w:proofErr w:type="spellEnd"/>
      <w:r w:rsidR="00234E17">
        <w:rPr>
          <w:sz w:val="24"/>
          <w:szCs w:val="24"/>
        </w:rPr>
        <w:t xml:space="preserve"> </w:t>
      </w:r>
      <w:proofErr w:type="spellStart"/>
      <w:r w:rsidR="00234E17">
        <w:rPr>
          <w:sz w:val="24"/>
          <w:szCs w:val="24"/>
        </w:rPr>
        <w:t>Ильминского</w:t>
      </w:r>
      <w:proofErr w:type="spellEnd"/>
      <w:r w:rsidR="00234E17">
        <w:rPr>
          <w:sz w:val="24"/>
          <w:szCs w:val="24"/>
        </w:rPr>
        <w:t xml:space="preserve"> сельсовета Никольского</w:t>
      </w:r>
      <w:r w:rsidRPr="003E22B6">
        <w:rPr>
          <w:sz w:val="24"/>
          <w:szCs w:val="24"/>
        </w:rPr>
        <w:t xml:space="preserve"> района Пензенской области </w:t>
      </w:r>
      <w:r w:rsidR="00B13A2C" w:rsidRPr="003E22B6">
        <w:rPr>
          <w:sz w:val="24"/>
          <w:szCs w:val="24"/>
        </w:rPr>
        <w:t xml:space="preserve">с </w:t>
      </w:r>
      <w:r w:rsidR="00B13A2C">
        <w:rPr>
          <w:sz w:val="24"/>
          <w:szCs w:val="24"/>
        </w:rPr>
        <w:t>08</w:t>
      </w:r>
      <w:r w:rsidR="00B13A2C" w:rsidRPr="003E22B6">
        <w:rPr>
          <w:sz w:val="24"/>
          <w:szCs w:val="24"/>
        </w:rPr>
        <w:t xml:space="preserve"> </w:t>
      </w:r>
      <w:r w:rsidR="00B13A2C">
        <w:rPr>
          <w:sz w:val="24"/>
          <w:szCs w:val="24"/>
        </w:rPr>
        <w:t>августа</w:t>
      </w:r>
      <w:r w:rsidR="00B13A2C" w:rsidRPr="003E22B6">
        <w:rPr>
          <w:sz w:val="24"/>
          <w:szCs w:val="24"/>
        </w:rPr>
        <w:t xml:space="preserve"> 2025 года по 31 декабря 2025 года </w:t>
      </w:r>
      <w:r w:rsidR="002A74C3" w:rsidRPr="003E22B6">
        <w:rPr>
          <w:sz w:val="24"/>
          <w:szCs w:val="24"/>
        </w:rPr>
        <w:t>в размере</w:t>
      </w:r>
      <w:r w:rsidR="00B13A2C" w:rsidRPr="003E22B6">
        <w:rPr>
          <w:sz w:val="24"/>
          <w:szCs w:val="24"/>
        </w:rPr>
        <w:t xml:space="preserve"> </w:t>
      </w:r>
      <w:r w:rsidR="00B13A2C">
        <w:rPr>
          <w:sz w:val="24"/>
          <w:szCs w:val="24"/>
        </w:rPr>
        <w:t>52,22</w:t>
      </w:r>
      <w:r w:rsidR="00B13A2C" w:rsidRPr="003E22B6">
        <w:rPr>
          <w:sz w:val="24"/>
          <w:szCs w:val="24"/>
        </w:rPr>
        <w:t xml:space="preserve"> руб. за 1 куб. м (без учета НДС); 6</w:t>
      </w:r>
      <w:r w:rsidR="00B13A2C">
        <w:rPr>
          <w:sz w:val="24"/>
          <w:szCs w:val="24"/>
        </w:rPr>
        <w:t>2</w:t>
      </w:r>
      <w:r w:rsidR="00B13A2C" w:rsidRPr="003E22B6">
        <w:rPr>
          <w:sz w:val="24"/>
          <w:szCs w:val="24"/>
        </w:rPr>
        <w:t>,</w:t>
      </w:r>
      <w:r w:rsidR="00B13A2C">
        <w:rPr>
          <w:sz w:val="24"/>
          <w:szCs w:val="24"/>
        </w:rPr>
        <w:t>66</w:t>
      </w:r>
      <w:r w:rsidR="00B13A2C" w:rsidRPr="003E22B6">
        <w:rPr>
          <w:sz w:val="24"/>
          <w:szCs w:val="24"/>
        </w:rPr>
        <w:t xml:space="preserve"> руб. за 1 куб. м (с учетом НДС).</w:t>
      </w:r>
    </w:p>
    <w:p w14:paraId="1F305DC3" w14:textId="2F64584F" w:rsidR="003E22B6" w:rsidRPr="003E22B6" w:rsidRDefault="003E22B6" w:rsidP="003F4677">
      <w:pPr>
        <w:ind w:firstLine="709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Голосование членов Правления</w:t>
      </w:r>
      <w:r w:rsidRPr="003E22B6">
        <w:rPr>
          <w:sz w:val="24"/>
          <w:szCs w:val="24"/>
        </w:rPr>
        <w:t>: «За» - единогласно.</w:t>
      </w:r>
    </w:p>
    <w:p w14:paraId="4328CDA5" w14:textId="7781FAB2" w:rsidR="003F4677" w:rsidRDefault="003E22B6" w:rsidP="003F4677">
      <w:pPr>
        <w:ind w:firstLine="709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Постановили</w:t>
      </w:r>
      <w:r w:rsidRPr="003E22B6">
        <w:rPr>
          <w:sz w:val="24"/>
          <w:szCs w:val="24"/>
        </w:rPr>
        <w:t xml:space="preserve">: установить одноставочный тариф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</w:t>
      </w:r>
      <w:r w:rsidR="00234E17"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на территории </w:t>
      </w:r>
      <w:r w:rsidR="00B13A2C">
        <w:rPr>
          <w:sz w:val="24"/>
          <w:szCs w:val="24"/>
        </w:rPr>
        <w:t>с</w:t>
      </w:r>
      <w:r w:rsidR="00234E17">
        <w:rPr>
          <w:sz w:val="24"/>
          <w:szCs w:val="24"/>
        </w:rPr>
        <w:t xml:space="preserve">. </w:t>
      </w:r>
      <w:proofErr w:type="spellStart"/>
      <w:r w:rsidR="00234E17">
        <w:rPr>
          <w:sz w:val="24"/>
          <w:szCs w:val="24"/>
        </w:rPr>
        <w:t>Ильмино</w:t>
      </w:r>
      <w:proofErr w:type="spellEnd"/>
      <w:r w:rsidR="00234E17">
        <w:rPr>
          <w:sz w:val="24"/>
          <w:szCs w:val="24"/>
        </w:rPr>
        <w:t xml:space="preserve"> </w:t>
      </w:r>
      <w:proofErr w:type="spellStart"/>
      <w:r w:rsidR="00234E17">
        <w:rPr>
          <w:sz w:val="24"/>
          <w:szCs w:val="24"/>
        </w:rPr>
        <w:t>Ильминского</w:t>
      </w:r>
      <w:proofErr w:type="spellEnd"/>
      <w:r w:rsidR="00234E17">
        <w:rPr>
          <w:sz w:val="24"/>
          <w:szCs w:val="24"/>
        </w:rPr>
        <w:t xml:space="preserve"> </w:t>
      </w:r>
      <w:r w:rsidR="00234E17">
        <w:rPr>
          <w:sz w:val="24"/>
          <w:szCs w:val="24"/>
        </w:rPr>
        <w:lastRenderedPageBreak/>
        <w:t>сельсовета Никольского</w:t>
      </w:r>
      <w:r w:rsidRPr="003E22B6">
        <w:rPr>
          <w:sz w:val="24"/>
          <w:szCs w:val="24"/>
        </w:rPr>
        <w:t xml:space="preserve"> района Пензенской области</w:t>
      </w:r>
      <w:bookmarkEnd w:id="0"/>
      <w:r w:rsidR="00645D49">
        <w:rPr>
          <w:sz w:val="24"/>
          <w:szCs w:val="24"/>
        </w:rPr>
        <w:t xml:space="preserve"> </w:t>
      </w:r>
      <w:r w:rsidR="00B13A2C" w:rsidRPr="003E22B6">
        <w:rPr>
          <w:sz w:val="24"/>
          <w:szCs w:val="24"/>
        </w:rPr>
        <w:t xml:space="preserve">с </w:t>
      </w:r>
      <w:r w:rsidR="00B13A2C">
        <w:rPr>
          <w:sz w:val="24"/>
          <w:szCs w:val="24"/>
        </w:rPr>
        <w:t>08</w:t>
      </w:r>
      <w:r w:rsidR="00B13A2C" w:rsidRPr="003E22B6">
        <w:rPr>
          <w:sz w:val="24"/>
          <w:szCs w:val="24"/>
        </w:rPr>
        <w:t xml:space="preserve"> </w:t>
      </w:r>
      <w:r w:rsidR="00B13A2C">
        <w:rPr>
          <w:sz w:val="24"/>
          <w:szCs w:val="24"/>
        </w:rPr>
        <w:t>августа</w:t>
      </w:r>
      <w:r w:rsidR="00B13A2C" w:rsidRPr="003E22B6">
        <w:rPr>
          <w:sz w:val="24"/>
          <w:szCs w:val="24"/>
        </w:rPr>
        <w:t xml:space="preserve"> 2025 года по 31 декабря 2025 года </w:t>
      </w:r>
      <w:r w:rsidR="00645D49" w:rsidRPr="003E22B6">
        <w:rPr>
          <w:sz w:val="24"/>
          <w:szCs w:val="24"/>
        </w:rPr>
        <w:t xml:space="preserve">в размере </w:t>
      </w:r>
      <w:r w:rsidR="00B13A2C">
        <w:rPr>
          <w:sz w:val="24"/>
          <w:szCs w:val="24"/>
        </w:rPr>
        <w:t>52,22</w:t>
      </w:r>
      <w:r w:rsidR="00B13A2C" w:rsidRPr="003E22B6">
        <w:rPr>
          <w:sz w:val="24"/>
          <w:szCs w:val="24"/>
        </w:rPr>
        <w:t xml:space="preserve"> руб. за 1 куб. м (без учета НДС); 6</w:t>
      </w:r>
      <w:r w:rsidR="00B13A2C">
        <w:rPr>
          <w:sz w:val="24"/>
          <w:szCs w:val="24"/>
        </w:rPr>
        <w:t>2</w:t>
      </w:r>
      <w:r w:rsidR="00B13A2C" w:rsidRPr="003E22B6">
        <w:rPr>
          <w:sz w:val="24"/>
          <w:szCs w:val="24"/>
        </w:rPr>
        <w:t>,</w:t>
      </w:r>
      <w:r w:rsidR="00B13A2C">
        <w:rPr>
          <w:sz w:val="24"/>
          <w:szCs w:val="24"/>
        </w:rPr>
        <w:t>66</w:t>
      </w:r>
      <w:r w:rsidR="00B13A2C" w:rsidRPr="003E22B6">
        <w:rPr>
          <w:sz w:val="24"/>
          <w:szCs w:val="24"/>
        </w:rPr>
        <w:t xml:space="preserve"> руб. за 1 куб. м (с учетом НДС).</w:t>
      </w:r>
    </w:p>
    <w:p w14:paraId="780CDACB" w14:textId="77777777" w:rsidR="00B13A2C" w:rsidRDefault="00B13A2C" w:rsidP="003F4677">
      <w:pPr>
        <w:ind w:firstLine="709"/>
        <w:jc w:val="both"/>
        <w:rPr>
          <w:sz w:val="24"/>
          <w:szCs w:val="24"/>
        </w:rPr>
      </w:pPr>
    </w:p>
    <w:p w14:paraId="2A8FF529" w14:textId="1451FB8F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3E22B6">
        <w:rPr>
          <w:b/>
          <w:sz w:val="24"/>
          <w:szCs w:val="24"/>
        </w:rPr>
        <w:t>Андреева Н.М.</w:t>
      </w:r>
      <w:r w:rsidRPr="003E22B6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по вопросу установления одноставочного тарифа на питьевую воду (питьевое водоснабжение) на территории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Усть</w:t>
      </w:r>
      <w:proofErr w:type="spellEnd"/>
      <w:r>
        <w:rPr>
          <w:sz w:val="24"/>
          <w:szCs w:val="24"/>
        </w:rPr>
        <w:t xml:space="preserve">-Инза </w:t>
      </w:r>
      <w:proofErr w:type="spellStart"/>
      <w:r>
        <w:rPr>
          <w:sz w:val="24"/>
          <w:szCs w:val="24"/>
        </w:rPr>
        <w:t>Ильминского</w:t>
      </w:r>
      <w:proofErr w:type="spellEnd"/>
      <w:r>
        <w:rPr>
          <w:sz w:val="24"/>
          <w:szCs w:val="24"/>
        </w:rPr>
        <w:t xml:space="preserve"> сельсовета Никольского</w:t>
      </w:r>
      <w:r w:rsidRPr="003E22B6">
        <w:rPr>
          <w:sz w:val="24"/>
          <w:szCs w:val="24"/>
        </w:rPr>
        <w:t xml:space="preserve"> района Пензенской области на 2025 год.</w:t>
      </w:r>
    </w:p>
    <w:p w14:paraId="6FBCDED6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BBDB9BE" w14:textId="71CB3B5D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В соответствии с пунктом 38 </w:t>
      </w:r>
      <w:r w:rsidR="0073483F">
        <w:rPr>
          <w:sz w:val="24"/>
          <w:szCs w:val="24"/>
        </w:rPr>
        <w:t>Основ</w:t>
      </w:r>
      <w:r w:rsidRPr="003E22B6">
        <w:rPr>
          <w:sz w:val="24"/>
          <w:szCs w:val="24"/>
        </w:rPr>
        <w:t xml:space="preserve"> при применении метода экономически обоснованных расходов (затрат) НВВ </w:t>
      </w:r>
      <w:r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административных расходов и расходов, связанных с уплатой налогов и сборов. </w:t>
      </w:r>
    </w:p>
    <w:p w14:paraId="788B8D8E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3E22B6">
        <w:rPr>
          <w:b/>
          <w:sz w:val="24"/>
          <w:szCs w:val="24"/>
        </w:rPr>
        <w:t xml:space="preserve"> </w:t>
      </w:r>
      <w:r w:rsidRPr="003E22B6">
        <w:rPr>
          <w:sz w:val="24"/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3F4677" w:rsidRPr="003E22B6" w14:paraId="2454E8F3" w14:textId="77777777" w:rsidTr="0030339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7121" w14:textId="77777777" w:rsidR="003F4677" w:rsidRPr="003E22B6" w:rsidRDefault="003F4677" w:rsidP="00303396">
            <w:pPr>
              <w:ind w:firstLine="742"/>
              <w:jc w:val="both"/>
            </w:pPr>
            <w:r w:rsidRPr="003E22B6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23B" w14:textId="77777777" w:rsidR="003F4677" w:rsidRPr="003E22B6" w:rsidRDefault="003F4677" w:rsidP="00303396">
            <w:pPr>
              <w:jc w:val="both"/>
            </w:pPr>
            <w:r w:rsidRPr="003E22B6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01A12" w14:textId="77777777" w:rsidR="003F4677" w:rsidRPr="003E22B6" w:rsidRDefault="003F4677" w:rsidP="00303396">
            <w:pPr>
              <w:jc w:val="both"/>
            </w:pPr>
            <w:r w:rsidRPr="003E22B6">
              <w:t>Величина показателя</w:t>
            </w:r>
          </w:p>
        </w:tc>
      </w:tr>
      <w:tr w:rsidR="003F4677" w:rsidRPr="003E22B6" w14:paraId="2900675C" w14:textId="77777777" w:rsidTr="0030339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85E5" w14:textId="77777777" w:rsidR="003F4677" w:rsidRPr="003E22B6" w:rsidRDefault="003F4677" w:rsidP="00303396">
            <w:pPr>
              <w:jc w:val="both"/>
            </w:pPr>
            <w:r w:rsidRPr="003E22B6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74F" w14:textId="77777777" w:rsidR="003F4677" w:rsidRPr="003E22B6" w:rsidRDefault="003F4677" w:rsidP="0030339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36180" w14:textId="1FE2A10B" w:rsidR="003F4677" w:rsidRPr="003E22B6" w:rsidRDefault="003F4677" w:rsidP="00303396">
            <w:pPr>
              <w:jc w:val="center"/>
            </w:pPr>
            <w:r w:rsidRPr="003F4677">
              <w:t>174,42</w:t>
            </w:r>
          </w:p>
        </w:tc>
      </w:tr>
      <w:tr w:rsidR="003F4677" w:rsidRPr="003E22B6" w14:paraId="785D2D73" w14:textId="77777777" w:rsidTr="0030339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F1A4" w14:textId="77777777" w:rsidR="003F4677" w:rsidRPr="003E22B6" w:rsidRDefault="003F4677" w:rsidP="00303396">
            <w:pPr>
              <w:ind w:firstLine="742"/>
              <w:jc w:val="both"/>
            </w:pPr>
            <w:r w:rsidRPr="003E22B6">
              <w:t>Расходы на сырье и материалы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36A" w14:textId="77777777" w:rsidR="003F4677" w:rsidRPr="003E22B6" w:rsidRDefault="003F4677" w:rsidP="0030339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C343F" w14:textId="77777777" w:rsidR="003F4677" w:rsidRPr="003E22B6" w:rsidRDefault="003F4677" w:rsidP="00303396">
            <w:pPr>
              <w:jc w:val="center"/>
            </w:pPr>
            <w:r w:rsidRPr="00234E17">
              <w:t>0</w:t>
            </w:r>
          </w:p>
        </w:tc>
      </w:tr>
      <w:tr w:rsidR="003F4677" w:rsidRPr="003E22B6" w14:paraId="040C672C" w14:textId="77777777" w:rsidTr="0030339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971" w14:textId="77777777" w:rsidR="003F4677" w:rsidRPr="003E22B6" w:rsidRDefault="003F4677" w:rsidP="00303396">
            <w:pPr>
              <w:ind w:firstLine="742"/>
              <w:jc w:val="both"/>
            </w:pPr>
            <w:r w:rsidRPr="003E22B6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6D9" w14:textId="067A459E" w:rsidR="003F4677" w:rsidRPr="003E22B6" w:rsidRDefault="003F4677" w:rsidP="00303396">
            <w:pPr>
              <w:jc w:val="both"/>
            </w:pPr>
            <w:r w:rsidRPr="003E22B6">
              <w:t>тыс. руб.</w:t>
            </w:r>
            <w:r>
              <w:t xml:space="preserve"> 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001A7" w14:textId="135A35AD" w:rsidR="003F4677" w:rsidRPr="003E22B6" w:rsidRDefault="003F4677" w:rsidP="00303396">
            <w:pPr>
              <w:jc w:val="center"/>
            </w:pPr>
            <w:r w:rsidRPr="003F4677">
              <w:t>76,538</w:t>
            </w:r>
          </w:p>
        </w:tc>
      </w:tr>
      <w:tr w:rsidR="003F4677" w:rsidRPr="003E22B6" w14:paraId="64F7A502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E11" w14:textId="77777777" w:rsidR="003F4677" w:rsidRPr="003E22B6" w:rsidRDefault="003F4677" w:rsidP="003F4677">
            <w:pPr>
              <w:ind w:firstLine="742"/>
              <w:jc w:val="both"/>
            </w:pPr>
            <w:r w:rsidRPr="003E22B6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D05" w14:textId="77777777" w:rsidR="003F4677" w:rsidRPr="003E22B6" w:rsidRDefault="003F4677" w:rsidP="003F4677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299EB" w14:textId="6C160F59" w:rsidR="003F4677" w:rsidRPr="003E22B6" w:rsidRDefault="003F4677" w:rsidP="003F4677">
            <w:pPr>
              <w:jc w:val="center"/>
            </w:pPr>
            <w:r w:rsidRPr="00957587">
              <w:t>75,18</w:t>
            </w:r>
          </w:p>
        </w:tc>
      </w:tr>
      <w:tr w:rsidR="003F4677" w:rsidRPr="003E22B6" w14:paraId="3A1544E1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95D" w14:textId="77777777" w:rsidR="003F4677" w:rsidRPr="003E22B6" w:rsidRDefault="003F4677" w:rsidP="003F4677">
            <w:pPr>
              <w:ind w:firstLine="742"/>
              <w:jc w:val="both"/>
            </w:pPr>
            <w:r w:rsidRPr="003E22B6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D06" w14:textId="77777777" w:rsidR="003F4677" w:rsidRPr="003E22B6" w:rsidRDefault="003F4677" w:rsidP="003F4677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AA76A" w14:textId="32ECC92D" w:rsidR="003F4677" w:rsidRPr="003E22B6" w:rsidRDefault="003F4677" w:rsidP="003F4677">
            <w:pPr>
              <w:jc w:val="center"/>
            </w:pPr>
            <w:r w:rsidRPr="00957587">
              <w:t>22,70</w:t>
            </w:r>
          </w:p>
        </w:tc>
      </w:tr>
      <w:tr w:rsidR="003F4677" w:rsidRPr="003E22B6" w14:paraId="72B7F065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570" w14:textId="77777777" w:rsidR="003F4677" w:rsidRPr="003E22B6" w:rsidRDefault="003F4677" w:rsidP="00303396">
            <w:pPr>
              <w:jc w:val="both"/>
            </w:pPr>
            <w:r w:rsidRPr="003E22B6">
              <w:t>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8E3" w14:textId="77777777" w:rsidR="003F4677" w:rsidRPr="003E22B6" w:rsidRDefault="003F4677" w:rsidP="0030339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B6614" w14:textId="30101C8D" w:rsidR="003F4677" w:rsidRPr="003E22B6" w:rsidRDefault="00B13A2C" w:rsidP="00303396">
            <w:pPr>
              <w:jc w:val="center"/>
            </w:pPr>
            <w:r>
              <w:t>90,28</w:t>
            </w:r>
          </w:p>
        </w:tc>
      </w:tr>
      <w:tr w:rsidR="003F4677" w:rsidRPr="003E22B6" w14:paraId="51C8FE47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872" w14:textId="77777777" w:rsidR="003F4677" w:rsidRPr="003E22B6" w:rsidRDefault="003F4677" w:rsidP="00303396">
            <w:pPr>
              <w:ind w:firstLine="742"/>
              <w:jc w:val="both"/>
            </w:pPr>
            <w:r w:rsidRPr="003E22B6">
              <w:t>Расходы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AAB" w14:textId="77777777" w:rsidR="003F4677" w:rsidRPr="003E22B6" w:rsidRDefault="003F4677" w:rsidP="0030339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F7004" w14:textId="62332A80" w:rsidR="003F4677" w:rsidRPr="003E22B6" w:rsidRDefault="00B13A2C" w:rsidP="00303396">
            <w:pPr>
              <w:jc w:val="center"/>
            </w:pPr>
            <w:r>
              <w:t>69,34</w:t>
            </w:r>
          </w:p>
        </w:tc>
      </w:tr>
      <w:tr w:rsidR="003F4677" w:rsidRPr="003E22B6" w14:paraId="1F3DB3A6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5CF" w14:textId="77777777" w:rsidR="003F4677" w:rsidRPr="003E22B6" w:rsidRDefault="003F4677" w:rsidP="00303396">
            <w:pPr>
              <w:ind w:firstLine="742"/>
              <w:jc w:val="both"/>
            </w:pPr>
            <w:r w:rsidRPr="003E22B6">
              <w:t>Страховые взносы на обязательное социальное страхование административно-управленческого персонала, в том числе налоги и сборы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BC7" w14:textId="77777777" w:rsidR="003F4677" w:rsidRPr="003E22B6" w:rsidRDefault="003F4677" w:rsidP="0030339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BBFE6" w14:textId="49FBDAD8" w:rsidR="003F4677" w:rsidRPr="003E22B6" w:rsidRDefault="00B13A2C" w:rsidP="00303396">
            <w:pPr>
              <w:jc w:val="center"/>
            </w:pPr>
            <w:r>
              <w:t>20,94</w:t>
            </w:r>
          </w:p>
        </w:tc>
      </w:tr>
      <w:tr w:rsidR="003F4677" w:rsidRPr="003E22B6" w14:paraId="6A20CE76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9A9" w14:textId="77777777" w:rsidR="003F4677" w:rsidRPr="003E22B6" w:rsidRDefault="003F4677" w:rsidP="00303396">
            <w:pPr>
              <w:jc w:val="both"/>
            </w:pPr>
            <w:r w:rsidRPr="003E22B6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E45" w14:textId="77777777" w:rsidR="003F4677" w:rsidRPr="003E22B6" w:rsidRDefault="003F4677" w:rsidP="0030339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878B" w14:textId="36964767" w:rsidR="003F4677" w:rsidRPr="003E22B6" w:rsidRDefault="00B13A2C" w:rsidP="00303396">
            <w:pPr>
              <w:jc w:val="center"/>
            </w:pPr>
            <w:r>
              <w:t>1,88</w:t>
            </w:r>
          </w:p>
        </w:tc>
      </w:tr>
      <w:tr w:rsidR="003F4677" w:rsidRPr="003E22B6" w14:paraId="25D6C62C" w14:textId="77777777" w:rsidTr="0030339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586" w14:textId="77777777" w:rsidR="003F4677" w:rsidRPr="003E22B6" w:rsidRDefault="003F4677" w:rsidP="00303396">
            <w:pPr>
              <w:ind w:firstLine="742"/>
              <w:jc w:val="both"/>
            </w:pPr>
            <w:r w:rsidRPr="003E22B6">
              <w:t>Водный налог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46F" w14:textId="77777777" w:rsidR="003F4677" w:rsidRPr="003E22B6" w:rsidRDefault="003F4677" w:rsidP="0030339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4CD5A" w14:textId="4C3B8B01" w:rsidR="003F4677" w:rsidRPr="003E22B6" w:rsidRDefault="00B13A2C" w:rsidP="00303396">
            <w:pPr>
              <w:jc w:val="center"/>
            </w:pPr>
            <w:r>
              <w:t>1,88</w:t>
            </w:r>
          </w:p>
        </w:tc>
      </w:tr>
      <w:tr w:rsidR="003F4677" w:rsidRPr="003E22B6" w14:paraId="434AB36C" w14:textId="77777777" w:rsidTr="00303396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C9C" w14:textId="77777777" w:rsidR="003F4677" w:rsidRPr="003E22B6" w:rsidRDefault="003F4677" w:rsidP="00303396">
            <w:pPr>
              <w:jc w:val="both"/>
            </w:pPr>
            <w:r w:rsidRPr="003E22B6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01B" w14:textId="77777777" w:rsidR="003F4677" w:rsidRPr="003E22B6" w:rsidRDefault="003F4677" w:rsidP="00303396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A27EE" w14:textId="2A97EED5" w:rsidR="003F4677" w:rsidRPr="003E22B6" w:rsidRDefault="00B13A2C" w:rsidP="00303396">
            <w:pPr>
              <w:jc w:val="center"/>
            </w:pPr>
            <w:r>
              <w:t>266,56</w:t>
            </w:r>
          </w:p>
        </w:tc>
      </w:tr>
    </w:tbl>
    <w:p w14:paraId="23D20789" w14:textId="77777777" w:rsidR="003F4677" w:rsidRPr="003E22B6" w:rsidRDefault="003F4677" w:rsidP="003F4677">
      <w:pPr>
        <w:jc w:val="both"/>
        <w:rPr>
          <w:sz w:val="24"/>
          <w:szCs w:val="24"/>
        </w:rPr>
      </w:pPr>
    </w:p>
    <w:p w14:paraId="4B77C951" w14:textId="28A611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Объем отпуска воды принят в размере </w:t>
      </w:r>
      <w:r w:rsidR="00B13A2C">
        <w:rPr>
          <w:sz w:val="24"/>
          <w:szCs w:val="24"/>
        </w:rPr>
        <w:t>5,749</w:t>
      </w:r>
      <w:r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B13A2C">
        <w:rPr>
          <w:sz w:val="24"/>
          <w:szCs w:val="24"/>
        </w:rPr>
        <w:t>7,836</w:t>
      </w:r>
      <w:r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тыс. кВт·ч.</w:t>
      </w:r>
    </w:p>
    <w:p w14:paraId="4D730B41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>
        <w:rPr>
          <w:sz w:val="24"/>
          <w:szCs w:val="24"/>
        </w:rPr>
        <w:t xml:space="preserve">                    МКП «Исток»</w:t>
      </w:r>
      <w:r w:rsidRPr="003E22B6">
        <w:rPr>
          <w:sz w:val="24"/>
          <w:szCs w:val="24"/>
        </w:rPr>
        <w:t xml:space="preserve"> в предложении об установлении тарифа на 2025 год:</w:t>
      </w:r>
    </w:p>
    <w:p w14:paraId="5183ACDB" w14:textId="2EA2F598" w:rsidR="003F4677" w:rsidRDefault="003F4677" w:rsidP="003F4677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B13A2C">
        <w:rPr>
          <w:sz w:val="24"/>
          <w:szCs w:val="24"/>
        </w:rPr>
        <w:t>0,86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38B2B25" w14:textId="77777777" w:rsidR="003F4677" w:rsidRDefault="003F4677" w:rsidP="003F4677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05EF2">
        <w:rPr>
          <w:sz w:val="24"/>
          <w:szCs w:val="24"/>
        </w:rPr>
        <w:t>асходы на оплату работ и услуг, выполняемых сторонними организациями</w:t>
      </w:r>
      <w:r>
        <w:rPr>
          <w:sz w:val="24"/>
          <w:szCs w:val="24"/>
        </w:rPr>
        <w:t xml:space="preserve"> в размере 24,0 тыс.руб. </w:t>
      </w:r>
      <w:r w:rsidRPr="003E22B6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3ACBFBE7" w14:textId="241435CB" w:rsidR="00B13A2C" w:rsidRPr="00B13A2C" w:rsidRDefault="00B13A2C" w:rsidP="00B13A2C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B13A2C">
        <w:rPr>
          <w:sz w:val="24"/>
          <w:szCs w:val="24"/>
        </w:rPr>
        <w:t>расходы на оплату труда производственного персонала</w:t>
      </w:r>
      <w:r>
        <w:rPr>
          <w:sz w:val="24"/>
          <w:szCs w:val="24"/>
        </w:rPr>
        <w:t xml:space="preserve"> в размере 32,34 </w:t>
      </w:r>
      <w:r w:rsidRPr="003E22B6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7913071C" w14:textId="6FB1B5A4" w:rsidR="00B13A2C" w:rsidRPr="00B13A2C" w:rsidRDefault="00B13A2C" w:rsidP="00B13A2C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5716C6">
        <w:rPr>
          <w:sz w:val="24"/>
          <w:szCs w:val="24"/>
        </w:rPr>
        <w:t>по</w:t>
      </w:r>
      <w:r>
        <w:rPr>
          <w:sz w:val="24"/>
          <w:szCs w:val="24"/>
        </w:rPr>
        <w:t xml:space="preserve"> уплат</w:t>
      </w:r>
      <w:r w:rsidR="005716C6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B13A2C">
        <w:rPr>
          <w:sz w:val="24"/>
          <w:szCs w:val="24"/>
        </w:rPr>
        <w:t>страховы</w:t>
      </w:r>
      <w:r>
        <w:rPr>
          <w:sz w:val="24"/>
          <w:szCs w:val="24"/>
        </w:rPr>
        <w:t>х</w:t>
      </w:r>
      <w:r w:rsidRPr="00B13A2C">
        <w:rPr>
          <w:sz w:val="24"/>
          <w:szCs w:val="24"/>
        </w:rPr>
        <w:t xml:space="preserve"> взнос</w:t>
      </w:r>
      <w:r>
        <w:rPr>
          <w:sz w:val="24"/>
          <w:szCs w:val="24"/>
        </w:rPr>
        <w:t>ов</w:t>
      </w:r>
      <w:r w:rsidRPr="00B13A2C">
        <w:rPr>
          <w:sz w:val="24"/>
          <w:szCs w:val="24"/>
        </w:rPr>
        <w:t xml:space="preserve"> на обязательное социальное страхование производственного персонала</w:t>
      </w:r>
      <w:r>
        <w:rPr>
          <w:sz w:val="24"/>
          <w:szCs w:val="24"/>
        </w:rPr>
        <w:t xml:space="preserve"> в размере 9,77 тыс. руб. </w:t>
      </w:r>
      <w:r w:rsidRPr="003E22B6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4D02FF42" w14:textId="77777777" w:rsidR="003F4677" w:rsidRDefault="003F4677" w:rsidP="003F4677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проведение лабораторных анализов воды в размере 28,0 тыс. руб. </w:t>
      </w:r>
      <w:r w:rsidRPr="003E22B6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0707787F" w14:textId="56811CD8" w:rsidR="003F4677" w:rsidRPr="003E22B6" w:rsidRDefault="003F4677" w:rsidP="003F467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 w:rsidR="00B13A2C">
        <w:rPr>
          <w:sz w:val="24"/>
          <w:szCs w:val="24"/>
        </w:rPr>
        <w:t>194,48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4A65ABB" w14:textId="5EB7E44C" w:rsidR="003F4677" w:rsidRPr="003E22B6" w:rsidRDefault="003F4677" w:rsidP="003F467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расходы на страховые взносы на обязательное социальное страхование административно-управленческого персонала, в том числе налоги и сборы в размере </w:t>
      </w:r>
      <w:r w:rsidR="00B13A2C">
        <w:rPr>
          <w:sz w:val="24"/>
          <w:szCs w:val="24"/>
        </w:rPr>
        <w:t>44,11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CF3936C" w14:textId="4C53BC0F" w:rsidR="003F4677" w:rsidRPr="003E22B6" w:rsidRDefault="003F4677" w:rsidP="003F467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обучение персонала</w:t>
      </w:r>
      <w:r w:rsidRPr="003E22B6">
        <w:rPr>
          <w:sz w:val="24"/>
          <w:szCs w:val="24"/>
        </w:rPr>
        <w:t xml:space="preserve"> в размере в размере </w:t>
      </w:r>
      <w:r>
        <w:rPr>
          <w:sz w:val="24"/>
          <w:szCs w:val="24"/>
        </w:rPr>
        <w:t>1,</w:t>
      </w:r>
      <w:r w:rsidR="00B13A2C">
        <w:rPr>
          <w:sz w:val="24"/>
          <w:szCs w:val="24"/>
        </w:rPr>
        <w:t>2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676B67C1" w14:textId="2F5C0A7F" w:rsidR="003F4677" w:rsidRPr="003E22B6" w:rsidRDefault="003F4677" w:rsidP="003F467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lastRenderedPageBreak/>
        <w:t>расходы по уплате водного налога в размере 0,1</w:t>
      </w:r>
      <w:r w:rsidR="00B13A2C">
        <w:rPr>
          <w:sz w:val="24"/>
          <w:szCs w:val="24"/>
        </w:rPr>
        <w:t>2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1E7848EF" w14:textId="3CD52221" w:rsidR="003F4677" w:rsidRPr="003E22B6" w:rsidRDefault="003F4677" w:rsidP="003F467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расходы</w:t>
      </w:r>
      <w:r>
        <w:rPr>
          <w:sz w:val="24"/>
          <w:szCs w:val="24"/>
        </w:rPr>
        <w:t xml:space="preserve"> по уплате налога на прибыль</w:t>
      </w:r>
      <w:r w:rsidRPr="003E22B6">
        <w:rPr>
          <w:sz w:val="24"/>
          <w:szCs w:val="24"/>
        </w:rPr>
        <w:t xml:space="preserve"> в размере </w:t>
      </w:r>
      <w:r w:rsidR="00B13A2C">
        <w:rPr>
          <w:sz w:val="24"/>
          <w:szCs w:val="24"/>
        </w:rPr>
        <w:t>72,0</w:t>
      </w:r>
      <w:r w:rsidRPr="003E22B6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.</w:t>
      </w:r>
    </w:p>
    <w:p w14:paraId="0792A8EF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F4677" w:rsidRPr="003E22B6" w14:paraId="104018F6" w14:textId="77777777" w:rsidTr="00303396">
        <w:tc>
          <w:tcPr>
            <w:tcW w:w="5529" w:type="dxa"/>
            <w:vMerge w:val="restart"/>
            <w:vAlign w:val="center"/>
          </w:tcPr>
          <w:p w14:paraId="20677D77" w14:textId="77777777" w:rsidR="003F4677" w:rsidRPr="003E22B6" w:rsidRDefault="003F4677" w:rsidP="00303396">
            <w:pPr>
              <w:jc w:val="both"/>
            </w:pPr>
            <w:r w:rsidRPr="003E22B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D451140" w14:textId="77777777" w:rsidR="003F4677" w:rsidRPr="003E22B6" w:rsidRDefault="003F4677" w:rsidP="00303396">
            <w:pPr>
              <w:jc w:val="both"/>
            </w:pPr>
            <w:r w:rsidRPr="003E22B6">
              <w:t>Ед. изм.</w:t>
            </w:r>
          </w:p>
        </w:tc>
        <w:tc>
          <w:tcPr>
            <w:tcW w:w="3118" w:type="dxa"/>
            <w:vAlign w:val="center"/>
          </w:tcPr>
          <w:p w14:paraId="1DB3A7FB" w14:textId="77777777" w:rsidR="003F4677" w:rsidRPr="003E22B6" w:rsidRDefault="003F4677" w:rsidP="00B13A2C">
            <w:pPr>
              <w:jc w:val="center"/>
            </w:pPr>
            <w:r w:rsidRPr="003E22B6">
              <w:t>2025 год</w:t>
            </w:r>
          </w:p>
        </w:tc>
      </w:tr>
      <w:tr w:rsidR="003F4677" w:rsidRPr="003E22B6" w14:paraId="641AB3F2" w14:textId="77777777" w:rsidTr="00303396">
        <w:tc>
          <w:tcPr>
            <w:tcW w:w="5529" w:type="dxa"/>
            <w:vMerge/>
            <w:vAlign w:val="center"/>
          </w:tcPr>
          <w:p w14:paraId="060A4181" w14:textId="77777777" w:rsidR="003F4677" w:rsidRPr="003E22B6" w:rsidRDefault="003F4677" w:rsidP="00303396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14:paraId="527FA4D0" w14:textId="77777777" w:rsidR="003F4677" w:rsidRPr="003E22B6" w:rsidRDefault="003F4677" w:rsidP="00303396">
            <w:pPr>
              <w:jc w:val="both"/>
            </w:pPr>
          </w:p>
        </w:tc>
        <w:tc>
          <w:tcPr>
            <w:tcW w:w="3118" w:type="dxa"/>
            <w:vAlign w:val="center"/>
          </w:tcPr>
          <w:p w14:paraId="05E2AD30" w14:textId="77777777" w:rsidR="003F4677" w:rsidRPr="003E22B6" w:rsidRDefault="003F4677" w:rsidP="00B13A2C">
            <w:pPr>
              <w:jc w:val="center"/>
            </w:pPr>
            <w:r w:rsidRPr="003E22B6">
              <w:t>План Министерства</w:t>
            </w:r>
          </w:p>
        </w:tc>
      </w:tr>
      <w:tr w:rsidR="003F4677" w:rsidRPr="003E22B6" w14:paraId="4D429CA9" w14:textId="77777777" w:rsidTr="00303396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F763CE1" w14:textId="77777777" w:rsidR="003F4677" w:rsidRPr="003E22B6" w:rsidRDefault="003F4677" w:rsidP="00303396">
            <w:pPr>
              <w:jc w:val="both"/>
            </w:pPr>
            <w:r w:rsidRPr="003E22B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260A6825" w14:textId="77777777" w:rsidR="003F4677" w:rsidRPr="003E22B6" w:rsidRDefault="003F4677" w:rsidP="00CF1AC5">
            <w:pPr>
              <w:jc w:val="center"/>
            </w:pPr>
            <w:proofErr w:type="spellStart"/>
            <w:r w:rsidRPr="003E22B6">
              <w:t>тыс.кВт.ч</w:t>
            </w:r>
            <w:proofErr w:type="spellEnd"/>
            <w:r w:rsidRPr="003E22B6">
              <w:t>/год</w:t>
            </w:r>
          </w:p>
        </w:tc>
        <w:tc>
          <w:tcPr>
            <w:tcW w:w="3118" w:type="dxa"/>
            <w:vAlign w:val="center"/>
          </w:tcPr>
          <w:p w14:paraId="784A1633" w14:textId="3B76239B" w:rsidR="003F4677" w:rsidRPr="003E22B6" w:rsidRDefault="00CF1AC5" w:rsidP="00303396">
            <w:pPr>
              <w:jc w:val="center"/>
            </w:pPr>
            <w:r>
              <w:t>7,836</w:t>
            </w:r>
          </w:p>
        </w:tc>
      </w:tr>
      <w:tr w:rsidR="003F4677" w:rsidRPr="003E22B6" w14:paraId="2DC8E1E2" w14:textId="77777777" w:rsidTr="00303396">
        <w:tc>
          <w:tcPr>
            <w:tcW w:w="5529" w:type="dxa"/>
            <w:vMerge/>
            <w:vAlign w:val="center"/>
          </w:tcPr>
          <w:p w14:paraId="0F80DC3C" w14:textId="77777777" w:rsidR="003F4677" w:rsidRPr="003E22B6" w:rsidRDefault="003F4677" w:rsidP="00303396">
            <w:pPr>
              <w:jc w:val="both"/>
            </w:pPr>
          </w:p>
        </w:tc>
        <w:tc>
          <w:tcPr>
            <w:tcW w:w="1559" w:type="dxa"/>
            <w:vAlign w:val="center"/>
          </w:tcPr>
          <w:p w14:paraId="5D8D9F4B" w14:textId="77777777" w:rsidR="003F4677" w:rsidRPr="003E22B6" w:rsidRDefault="003F4677" w:rsidP="00CF1AC5">
            <w:pPr>
              <w:jc w:val="center"/>
            </w:pPr>
            <w:proofErr w:type="spellStart"/>
            <w:r w:rsidRPr="003E22B6">
              <w:t>кВт.ч</w:t>
            </w:r>
            <w:proofErr w:type="spellEnd"/>
            <w:r w:rsidRPr="003E22B6">
              <w:t>/куб.м</w:t>
            </w:r>
          </w:p>
        </w:tc>
        <w:tc>
          <w:tcPr>
            <w:tcW w:w="3118" w:type="dxa"/>
            <w:vAlign w:val="center"/>
          </w:tcPr>
          <w:p w14:paraId="1D24F49D" w14:textId="2001BFA8" w:rsidR="003F4677" w:rsidRPr="003E22B6" w:rsidRDefault="003F4677" w:rsidP="00303396">
            <w:pPr>
              <w:jc w:val="center"/>
            </w:pPr>
            <w:r w:rsidRPr="00405EF2">
              <w:t>1,</w:t>
            </w:r>
            <w:r w:rsidR="00CF1AC5">
              <w:t>36</w:t>
            </w:r>
          </w:p>
        </w:tc>
      </w:tr>
      <w:tr w:rsidR="003F4677" w:rsidRPr="003E22B6" w14:paraId="56FE8840" w14:textId="77777777" w:rsidTr="00303396">
        <w:trPr>
          <w:trHeight w:val="189"/>
        </w:trPr>
        <w:tc>
          <w:tcPr>
            <w:tcW w:w="5529" w:type="dxa"/>
            <w:vMerge w:val="restart"/>
          </w:tcPr>
          <w:p w14:paraId="0E8E7372" w14:textId="77777777" w:rsidR="003F4677" w:rsidRPr="003E22B6" w:rsidRDefault="003F4677" w:rsidP="00303396">
            <w:pPr>
              <w:jc w:val="both"/>
            </w:pPr>
            <w:r w:rsidRPr="003E22B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9EF95D0" w14:textId="77777777" w:rsidR="003F4677" w:rsidRPr="003E22B6" w:rsidRDefault="003F4677" w:rsidP="00CF1AC5">
            <w:pPr>
              <w:jc w:val="center"/>
            </w:pPr>
            <w:r w:rsidRPr="003E22B6">
              <w:t>кг/год</w:t>
            </w:r>
          </w:p>
        </w:tc>
        <w:tc>
          <w:tcPr>
            <w:tcW w:w="3118" w:type="dxa"/>
          </w:tcPr>
          <w:p w14:paraId="47530548" w14:textId="77777777" w:rsidR="003F4677" w:rsidRPr="003E22B6" w:rsidRDefault="003F4677" w:rsidP="00303396">
            <w:pPr>
              <w:jc w:val="center"/>
            </w:pPr>
            <w:r w:rsidRPr="003E22B6">
              <w:t>-</w:t>
            </w:r>
          </w:p>
        </w:tc>
      </w:tr>
      <w:tr w:rsidR="003F4677" w:rsidRPr="003E22B6" w14:paraId="36026188" w14:textId="77777777" w:rsidTr="00303396">
        <w:tc>
          <w:tcPr>
            <w:tcW w:w="5529" w:type="dxa"/>
            <w:vMerge/>
          </w:tcPr>
          <w:p w14:paraId="7DBDEB12" w14:textId="77777777" w:rsidR="003F4677" w:rsidRPr="003E22B6" w:rsidRDefault="003F4677" w:rsidP="00303396">
            <w:pPr>
              <w:jc w:val="both"/>
            </w:pPr>
          </w:p>
        </w:tc>
        <w:tc>
          <w:tcPr>
            <w:tcW w:w="1559" w:type="dxa"/>
          </w:tcPr>
          <w:p w14:paraId="79EFF9FC" w14:textId="77777777" w:rsidR="003F4677" w:rsidRPr="003E22B6" w:rsidRDefault="003F4677" w:rsidP="00CF1AC5">
            <w:pPr>
              <w:jc w:val="center"/>
            </w:pPr>
            <w:r w:rsidRPr="003E22B6">
              <w:t>г/куб.м (мг/л)</w:t>
            </w:r>
          </w:p>
        </w:tc>
        <w:tc>
          <w:tcPr>
            <w:tcW w:w="3118" w:type="dxa"/>
          </w:tcPr>
          <w:p w14:paraId="065640D8" w14:textId="77777777" w:rsidR="003F4677" w:rsidRPr="003E22B6" w:rsidRDefault="003F4677" w:rsidP="00303396">
            <w:pPr>
              <w:jc w:val="center"/>
            </w:pPr>
            <w:r w:rsidRPr="003E22B6">
              <w:t>-</w:t>
            </w:r>
          </w:p>
        </w:tc>
      </w:tr>
    </w:tbl>
    <w:p w14:paraId="146467B0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Норматив потерь питьевой воды не утвержден.</w:t>
      </w:r>
    </w:p>
    <w:p w14:paraId="6AEA9723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44B50F81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3F4677" w:rsidRPr="003E22B6" w14:paraId="4DCE0759" w14:textId="77777777" w:rsidTr="00303396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9004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E696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C928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D401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 xml:space="preserve">План на </w:t>
            </w:r>
            <w:r w:rsidRPr="003E22B6">
              <w:rPr>
                <w:b/>
                <w:bCs/>
              </w:rPr>
              <w:br/>
              <w:t>2025 год</w:t>
            </w:r>
          </w:p>
        </w:tc>
      </w:tr>
      <w:tr w:rsidR="003F4677" w:rsidRPr="003E22B6" w14:paraId="0E916D1C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CB21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099D1C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1935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DE86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</w:tr>
      <w:tr w:rsidR="003F4677" w:rsidRPr="003E22B6" w14:paraId="26C3113D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8803" w14:textId="77777777" w:rsidR="003F4677" w:rsidRPr="003E22B6" w:rsidRDefault="003F4677" w:rsidP="00303396">
            <w:pPr>
              <w:jc w:val="both"/>
            </w:pPr>
            <w:r w:rsidRPr="003E22B6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5C7D0" w14:textId="77777777" w:rsidR="003F4677" w:rsidRPr="003E22B6" w:rsidRDefault="003F4677" w:rsidP="00303396">
            <w:pPr>
              <w:jc w:val="both"/>
            </w:pPr>
            <w:r w:rsidRPr="003E22B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3F9E" w14:textId="77777777" w:rsidR="003F4677" w:rsidRPr="003E22B6" w:rsidRDefault="003F4677" w:rsidP="00303396">
            <w:pPr>
              <w:jc w:val="center"/>
            </w:pPr>
            <w:r w:rsidRPr="003E22B6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86E0F" w14:textId="7E2261C6" w:rsidR="003F4677" w:rsidRPr="003E22B6" w:rsidRDefault="003F4677" w:rsidP="00303396">
            <w:pPr>
              <w:jc w:val="center"/>
            </w:pPr>
            <w:r w:rsidRPr="003E22B6">
              <w:t>0,</w:t>
            </w:r>
            <w:r>
              <w:t>2</w:t>
            </w:r>
            <w:r w:rsidR="00CF1AC5">
              <w:t>9</w:t>
            </w:r>
          </w:p>
        </w:tc>
      </w:tr>
      <w:tr w:rsidR="003F4677" w:rsidRPr="003E22B6" w14:paraId="07DA4015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91832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A1F122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D51" w14:textId="77777777" w:rsidR="003F4677" w:rsidRPr="003E22B6" w:rsidRDefault="003F4677" w:rsidP="00303396">
            <w:pPr>
              <w:jc w:val="center"/>
              <w:rPr>
                <w:b/>
                <w:bCs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6FB4" w14:textId="77777777" w:rsidR="003F4677" w:rsidRPr="003E22B6" w:rsidRDefault="003F4677" w:rsidP="00303396">
            <w:pPr>
              <w:jc w:val="center"/>
            </w:pPr>
          </w:p>
        </w:tc>
      </w:tr>
      <w:tr w:rsidR="003F4677" w:rsidRPr="003E22B6" w14:paraId="5F4ED859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2A7D" w14:textId="77777777" w:rsidR="003F4677" w:rsidRPr="003E22B6" w:rsidRDefault="003F4677" w:rsidP="00303396">
            <w:pPr>
              <w:jc w:val="both"/>
            </w:pPr>
            <w:r w:rsidRPr="003E22B6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3FD47A" w14:textId="77777777" w:rsidR="003F4677" w:rsidRPr="003E22B6" w:rsidRDefault="003F4677" w:rsidP="00303396">
            <w:pPr>
              <w:jc w:val="both"/>
            </w:pPr>
            <w:r w:rsidRPr="003E22B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28B5" w14:textId="77777777" w:rsidR="003F4677" w:rsidRPr="003E22B6" w:rsidRDefault="003F4677" w:rsidP="00303396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802C" w14:textId="77777777" w:rsidR="003F4677" w:rsidRPr="003E22B6" w:rsidRDefault="003F4677" w:rsidP="005716C6">
            <w:pPr>
              <w:jc w:val="center"/>
            </w:pPr>
            <w:r w:rsidRPr="003E22B6">
              <w:t>0</w:t>
            </w:r>
          </w:p>
        </w:tc>
      </w:tr>
      <w:tr w:rsidR="003F4677" w:rsidRPr="003E22B6" w14:paraId="49E8570C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A94B" w14:textId="77777777" w:rsidR="003F4677" w:rsidRPr="003E22B6" w:rsidRDefault="003F4677" w:rsidP="00303396">
            <w:pPr>
              <w:jc w:val="both"/>
            </w:pPr>
            <w:r w:rsidRPr="003E22B6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418FB8" w14:textId="77777777" w:rsidR="003F4677" w:rsidRPr="003E22B6" w:rsidRDefault="003F4677" w:rsidP="00303396">
            <w:pPr>
              <w:jc w:val="both"/>
            </w:pPr>
            <w:r w:rsidRPr="003E22B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47DB" w14:textId="77777777" w:rsidR="003F4677" w:rsidRPr="003E22B6" w:rsidRDefault="003F4677" w:rsidP="00303396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775F" w14:textId="77777777" w:rsidR="003F4677" w:rsidRPr="003E22B6" w:rsidRDefault="003F4677" w:rsidP="005716C6">
            <w:pPr>
              <w:jc w:val="center"/>
            </w:pPr>
            <w:r w:rsidRPr="003E22B6">
              <w:t>0</w:t>
            </w:r>
          </w:p>
        </w:tc>
      </w:tr>
      <w:tr w:rsidR="003F4677" w:rsidRPr="003E22B6" w14:paraId="2FBCBF17" w14:textId="77777777" w:rsidTr="00303396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3189" w14:textId="77777777" w:rsidR="003F4677" w:rsidRPr="003E22B6" w:rsidRDefault="003F4677" w:rsidP="0030339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594E3B" w14:textId="77777777" w:rsidR="003F4677" w:rsidRPr="003E22B6" w:rsidRDefault="003F4677" w:rsidP="00303396">
            <w:pPr>
              <w:rPr>
                <w:b/>
                <w:bCs/>
              </w:rPr>
            </w:pPr>
            <w:r w:rsidRPr="003E22B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F1D9" w14:textId="77777777" w:rsidR="003F4677" w:rsidRPr="003E22B6" w:rsidRDefault="003F4677" w:rsidP="00303396">
            <w:pPr>
              <w:jc w:val="both"/>
            </w:pPr>
          </w:p>
        </w:tc>
      </w:tr>
      <w:tr w:rsidR="003F4677" w:rsidRPr="003E22B6" w14:paraId="3E1BC5B1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A41A" w14:textId="77777777" w:rsidR="003F4677" w:rsidRPr="003E22B6" w:rsidRDefault="003F4677" w:rsidP="00303396">
            <w:pPr>
              <w:jc w:val="both"/>
            </w:pPr>
            <w:r w:rsidRPr="003E22B6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D375FA" w14:textId="77777777" w:rsidR="003F4677" w:rsidRPr="003E22B6" w:rsidRDefault="003F4677" w:rsidP="00303396">
            <w:pPr>
              <w:jc w:val="both"/>
            </w:pPr>
            <w:r w:rsidRPr="003E22B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CD78" w14:textId="77777777" w:rsidR="003F4677" w:rsidRPr="003E22B6" w:rsidRDefault="003F4677" w:rsidP="00303396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1950" w14:textId="02306ECD" w:rsidR="003F4677" w:rsidRPr="003E22B6" w:rsidRDefault="003F4677" w:rsidP="00303396">
            <w:pPr>
              <w:jc w:val="center"/>
            </w:pPr>
            <w:r w:rsidRPr="003E22B6">
              <w:t>12,</w:t>
            </w:r>
            <w:r w:rsidR="00CF1AC5">
              <w:t>73</w:t>
            </w:r>
          </w:p>
        </w:tc>
      </w:tr>
      <w:tr w:rsidR="003F4677" w:rsidRPr="003E22B6" w14:paraId="5886AE9D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DC0C" w14:textId="77777777" w:rsidR="003F4677" w:rsidRPr="003E22B6" w:rsidRDefault="003F4677" w:rsidP="00303396">
            <w:pPr>
              <w:jc w:val="both"/>
            </w:pPr>
            <w:r w:rsidRPr="003E22B6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B5981F" w14:textId="77777777" w:rsidR="003F4677" w:rsidRPr="003E22B6" w:rsidRDefault="003F4677" w:rsidP="00303396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95FC" w14:textId="77777777" w:rsidR="003F4677" w:rsidRPr="003E22B6" w:rsidRDefault="003F4677" w:rsidP="00303396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AB47" w14:textId="48904415" w:rsidR="003F4677" w:rsidRPr="003E22B6" w:rsidRDefault="003F4677" w:rsidP="00303396">
            <w:pPr>
              <w:jc w:val="center"/>
            </w:pPr>
            <w:r>
              <w:t>1,</w:t>
            </w:r>
            <w:r w:rsidR="00CF1AC5">
              <w:t>36</w:t>
            </w:r>
          </w:p>
        </w:tc>
      </w:tr>
      <w:tr w:rsidR="003F4677" w:rsidRPr="003E22B6" w14:paraId="2B9D7FE6" w14:textId="77777777" w:rsidTr="00303396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A58F" w14:textId="77777777" w:rsidR="003F4677" w:rsidRPr="003E22B6" w:rsidRDefault="003F4677" w:rsidP="00303396">
            <w:pPr>
              <w:jc w:val="both"/>
            </w:pPr>
            <w:r w:rsidRPr="003E22B6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0D47B3" w14:textId="77777777" w:rsidR="003F4677" w:rsidRPr="003E22B6" w:rsidRDefault="003F4677" w:rsidP="00303396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7551" w14:textId="77777777" w:rsidR="003F4677" w:rsidRPr="003E22B6" w:rsidRDefault="003F4677" w:rsidP="00303396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95B7" w14:textId="77777777" w:rsidR="003F4677" w:rsidRPr="003E22B6" w:rsidRDefault="003F4677" w:rsidP="00303396">
            <w:pPr>
              <w:jc w:val="center"/>
            </w:pPr>
            <w:r w:rsidRPr="003E22B6">
              <w:t>-</w:t>
            </w:r>
          </w:p>
        </w:tc>
      </w:tr>
    </w:tbl>
    <w:p w14:paraId="54405C0B" w14:textId="77777777" w:rsidR="003F4677" w:rsidRPr="003E22B6" w:rsidRDefault="003F4677" w:rsidP="003F4677">
      <w:pPr>
        <w:jc w:val="both"/>
        <w:rPr>
          <w:sz w:val="24"/>
          <w:szCs w:val="24"/>
        </w:rPr>
      </w:pPr>
    </w:p>
    <w:p w14:paraId="4417E265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3E22B6">
        <w:rPr>
          <w:bCs/>
          <w:iCs/>
          <w:sz w:val="24"/>
          <w:szCs w:val="24"/>
        </w:rPr>
        <w:t xml:space="preserve">объектов централизованных систем водоснабжения </w:t>
      </w:r>
      <w:r w:rsidRPr="003E22B6">
        <w:rPr>
          <w:sz w:val="24"/>
          <w:szCs w:val="24"/>
        </w:rPr>
        <w:t xml:space="preserve">утверждены в производственной программе </w:t>
      </w:r>
      <w:r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на 2025 год.</w:t>
      </w:r>
    </w:p>
    <w:p w14:paraId="51BB97AC" w14:textId="3D3D9344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 xml:space="preserve">с. </w:t>
      </w:r>
      <w:proofErr w:type="spellStart"/>
      <w:r w:rsidR="00CF1AC5">
        <w:rPr>
          <w:sz w:val="24"/>
          <w:szCs w:val="24"/>
        </w:rPr>
        <w:t>Усть</w:t>
      </w:r>
      <w:proofErr w:type="spellEnd"/>
      <w:r w:rsidR="00CF1AC5">
        <w:rPr>
          <w:sz w:val="24"/>
          <w:szCs w:val="24"/>
        </w:rPr>
        <w:t>-Инза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Ильминского</w:t>
      </w:r>
      <w:proofErr w:type="spellEnd"/>
      <w:r>
        <w:rPr>
          <w:sz w:val="24"/>
          <w:szCs w:val="24"/>
        </w:rPr>
        <w:t xml:space="preserve"> сельсовета Никольского</w:t>
      </w:r>
      <w:r w:rsidRPr="003E22B6">
        <w:rPr>
          <w:sz w:val="24"/>
          <w:szCs w:val="24"/>
        </w:rPr>
        <w:t xml:space="preserve"> района Пензенской области с </w:t>
      </w:r>
      <w:r>
        <w:rPr>
          <w:sz w:val="24"/>
          <w:szCs w:val="24"/>
        </w:rPr>
        <w:t>08</w:t>
      </w:r>
      <w:r w:rsidRPr="003E22B6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 w:rsidRPr="003E22B6">
        <w:rPr>
          <w:sz w:val="24"/>
          <w:szCs w:val="24"/>
        </w:rPr>
        <w:t xml:space="preserve"> 2025 года по 31 декабря 2025 года </w:t>
      </w:r>
      <w:r w:rsidR="00645D49" w:rsidRPr="003E22B6">
        <w:rPr>
          <w:sz w:val="24"/>
          <w:szCs w:val="24"/>
        </w:rPr>
        <w:t>составил</w:t>
      </w:r>
      <w:r w:rsidRPr="003E22B6">
        <w:rPr>
          <w:sz w:val="24"/>
          <w:szCs w:val="24"/>
        </w:rPr>
        <w:t xml:space="preserve"> </w:t>
      </w:r>
      <w:r w:rsidR="00CF1AC5">
        <w:rPr>
          <w:sz w:val="24"/>
          <w:szCs w:val="24"/>
        </w:rPr>
        <w:t>53,97</w:t>
      </w:r>
      <w:r w:rsidRPr="003E22B6">
        <w:rPr>
          <w:sz w:val="24"/>
          <w:szCs w:val="24"/>
        </w:rPr>
        <w:t xml:space="preserve"> руб. за 1 куб. м (без учета НДС); </w:t>
      </w:r>
      <w:r w:rsidR="00CF1AC5">
        <w:rPr>
          <w:sz w:val="24"/>
          <w:szCs w:val="24"/>
        </w:rPr>
        <w:t>64,76</w:t>
      </w:r>
      <w:r w:rsidRPr="003E22B6">
        <w:rPr>
          <w:sz w:val="24"/>
          <w:szCs w:val="24"/>
        </w:rPr>
        <w:t xml:space="preserve"> руб. за 1 куб. м (с учетом НДС).</w:t>
      </w:r>
    </w:p>
    <w:p w14:paraId="24B68D3C" w14:textId="1A8CDACB" w:rsidR="003F4677" w:rsidRDefault="003F4677" w:rsidP="003F4677">
      <w:pPr>
        <w:ind w:firstLine="709"/>
        <w:jc w:val="both"/>
        <w:rPr>
          <w:bCs/>
          <w:iCs/>
          <w:sz w:val="24"/>
          <w:szCs w:val="24"/>
        </w:rPr>
      </w:pPr>
      <w:r w:rsidRPr="003E22B6">
        <w:rPr>
          <w:b/>
          <w:bCs/>
          <w:iCs/>
          <w:sz w:val="24"/>
          <w:szCs w:val="24"/>
        </w:rPr>
        <w:t xml:space="preserve">Сагайдачный Д.И. </w:t>
      </w:r>
      <w:r w:rsidRPr="003E22B6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974283" w:rsidRPr="00974283">
        <w:rPr>
          <w:bCs/>
          <w:iCs/>
          <w:sz w:val="24"/>
          <w:szCs w:val="24"/>
        </w:rPr>
        <w:t>08.08.2025 № ЕД/3623/25,</w:t>
      </w:r>
      <w:r w:rsidRPr="00974283">
        <w:rPr>
          <w:bCs/>
          <w:iCs/>
          <w:sz w:val="24"/>
          <w:szCs w:val="24"/>
        </w:rPr>
        <w:t xml:space="preserve"> </w:t>
      </w:r>
      <w:r w:rsidRPr="003E22B6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</w:p>
    <w:p w14:paraId="586B4620" w14:textId="6E45CA73" w:rsidR="0073483F" w:rsidRPr="003E22B6" w:rsidRDefault="0073483F" w:rsidP="0073483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«Исток» с проектом приказа ознакомлено, согласно.</w:t>
      </w:r>
    </w:p>
    <w:p w14:paraId="4DFC12FB" w14:textId="61657CE4" w:rsidR="00CF1AC5" w:rsidRPr="003E22B6" w:rsidRDefault="003F4677" w:rsidP="00CF1AC5">
      <w:pPr>
        <w:ind w:firstLine="709"/>
        <w:jc w:val="both"/>
        <w:rPr>
          <w:sz w:val="24"/>
          <w:szCs w:val="24"/>
        </w:rPr>
      </w:pPr>
      <w:r w:rsidRPr="003E22B6">
        <w:rPr>
          <w:b/>
          <w:sz w:val="24"/>
          <w:szCs w:val="24"/>
        </w:rPr>
        <w:t>Сагайдачный Д.И.</w:t>
      </w:r>
      <w:r w:rsidRPr="003E22B6">
        <w:rPr>
          <w:sz w:val="24"/>
          <w:szCs w:val="24"/>
        </w:rPr>
        <w:t xml:space="preserve"> предложил вынести на голосование утверждение указанного выше одноставочного тарифа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                       </w:t>
      </w:r>
      <w:r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на территории </w:t>
      </w:r>
      <w:r w:rsidR="00CF1AC5"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  <w:proofErr w:type="spellStart"/>
      <w:r w:rsidR="00CF1AC5">
        <w:rPr>
          <w:sz w:val="24"/>
          <w:szCs w:val="24"/>
        </w:rPr>
        <w:t>Усть</w:t>
      </w:r>
      <w:proofErr w:type="spellEnd"/>
      <w:r w:rsidR="00CF1AC5">
        <w:rPr>
          <w:sz w:val="24"/>
          <w:szCs w:val="24"/>
        </w:rPr>
        <w:t>-Инза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Ильминского</w:t>
      </w:r>
      <w:proofErr w:type="spellEnd"/>
      <w:r>
        <w:rPr>
          <w:sz w:val="24"/>
          <w:szCs w:val="24"/>
        </w:rPr>
        <w:t xml:space="preserve"> сельсовета Никольского</w:t>
      </w:r>
      <w:r w:rsidRPr="003E22B6">
        <w:rPr>
          <w:sz w:val="24"/>
          <w:szCs w:val="24"/>
        </w:rPr>
        <w:t xml:space="preserve"> района Пензенской области </w:t>
      </w:r>
      <w:r w:rsidR="00CF1AC5" w:rsidRPr="003E22B6">
        <w:rPr>
          <w:sz w:val="24"/>
          <w:szCs w:val="24"/>
        </w:rPr>
        <w:t xml:space="preserve">с </w:t>
      </w:r>
      <w:r w:rsidR="00CF1AC5">
        <w:rPr>
          <w:sz w:val="24"/>
          <w:szCs w:val="24"/>
        </w:rPr>
        <w:t>08</w:t>
      </w:r>
      <w:r w:rsidR="00CF1AC5" w:rsidRPr="003E22B6">
        <w:rPr>
          <w:sz w:val="24"/>
          <w:szCs w:val="24"/>
        </w:rPr>
        <w:t xml:space="preserve"> </w:t>
      </w:r>
      <w:r w:rsidR="00CF1AC5">
        <w:rPr>
          <w:sz w:val="24"/>
          <w:szCs w:val="24"/>
        </w:rPr>
        <w:t>августа</w:t>
      </w:r>
      <w:r w:rsidR="00CF1AC5" w:rsidRPr="003E22B6">
        <w:rPr>
          <w:sz w:val="24"/>
          <w:szCs w:val="24"/>
        </w:rPr>
        <w:t xml:space="preserve"> 2025 года по 31 декабря 2025 года </w:t>
      </w:r>
      <w:r w:rsidR="00645D49">
        <w:rPr>
          <w:sz w:val="24"/>
          <w:szCs w:val="24"/>
        </w:rPr>
        <w:t>в размере</w:t>
      </w:r>
      <w:r w:rsidR="00CF1AC5" w:rsidRPr="003E22B6">
        <w:rPr>
          <w:sz w:val="24"/>
          <w:szCs w:val="24"/>
        </w:rPr>
        <w:t xml:space="preserve"> </w:t>
      </w:r>
      <w:r w:rsidR="00CF1AC5">
        <w:rPr>
          <w:sz w:val="24"/>
          <w:szCs w:val="24"/>
        </w:rPr>
        <w:t>53,97</w:t>
      </w:r>
      <w:r w:rsidR="00CF1AC5" w:rsidRPr="003E22B6">
        <w:rPr>
          <w:sz w:val="24"/>
          <w:szCs w:val="24"/>
        </w:rPr>
        <w:t xml:space="preserve"> руб. за 1 куб. м (без учета НДС); </w:t>
      </w:r>
      <w:r w:rsidR="00CF1AC5">
        <w:rPr>
          <w:sz w:val="24"/>
          <w:szCs w:val="24"/>
        </w:rPr>
        <w:t>64,76</w:t>
      </w:r>
      <w:r w:rsidR="00CF1AC5" w:rsidRPr="003E22B6">
        <w:rPr>
          <w:sz w:val="24"/>
          <w:szCs w:val="24"/>
        </w:rPr>
        <w:t xml:space="preserve"> руб. за 1 куб. м (с учетом НДС).</w:t>
      </w:r>
    </w:p>
    <w:p w14:paraId="3BBE5CAF" w14:textId="5A70FBB4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Голосование членов Правления</w:t>
      </w:r>
      <w:r w:rsidRPr="003E22B6">
        <w:rPr>
          <w:sz w:val="24"/>
          <w:szCs w:val="24"/>
        </w:rPr>
        <w:t>: «За» - единогласно.</w:t>
      </w:r>
    </w:p>
    <w:p w14:paraId="3B74FE09" w14:textId="1622E739" w:rsidR="00CF1AC5" w:rsidRPr="003E22B6" w:rsidRDefault="003F4677" w:rsidP="00CF1AC5">
      <w:pPr>
        <w:ind w:firstLine="709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lastRenderedPageBreak/>
        <w:t>Постановили</w:t>
      </w:r>
      <w:r w:rsidRPr="003E22B6">
        <w:rPr>
          <w:sz w:val="24"/>
          <w:szCs w:val="24"/>
        </w:rPr>
        <w:t xml:space="preserve">: установить одноставочный тариф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</w:t>
      </w:r>
      <w:r>
        <w:rPr>
          <w:sz w:val="24"/>
          <w:szCs w:val="24"/>
        </w:rPr>
        <w:t>МКП «Исток»</w:t>
      </w:r>
      <w:r w:rsidRPr="003E22B6">
        <w:rPr>
          <w:sz w:val="24"/>
          <w:szCs w:val="24"/>
        </w:rPr>
        <w:t xml:space="preserve"> на территории </w:t>
      </w:r>
      <w:r w:rsidR="00CF1AC5"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  <w:proofErr w:type="spellStart"/>
      <w:r w:rsidR="00CF1AC5">
        <w:rPr>
          <w:sz w:val="24"/>
          <w:szCs w:val="24"/>
        </w:rPr>
        <w:t>Усть</w:t>
      </w:r>
      <w:proofErr w:type="spellEnd"/>
      <w:r w:rsidR="00CF1AC5">
        <w:rPr>
          <w:sz w:val="24"/>
          <w:szCs w:val="24"/>
        </w:rPr>
        <w:t>-Инза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Ильминского</w:t>
      </w:r>
      <w:proofErr w:type="spellEnd"/>
      <w:r>
        <w:rPr>
          <w:sz w:val="24"/>
          <w:szCs w:val="24"/>
        </w:rPr>
        <w:t xml:space="preserve"> сельсовета Никольского</w:t>
      </w:r>
      <w:r w:rsidRPr="003E22B6">
        <w:rPr>
          <w:sz w:val="24"/>
          <w:szCs w:val="24"/>
        </w:rPr>
        <w:t xml:space="preserve"> района Пензенской области</w:t>
      </w:r>
      <w:r w:rsidR="00974283">
        <w:rPr>
          <w:sz w:val="24"/>
          <w:szCs w:val="24"/>
        </w:rPr>
        <w:t xml:space="preserve"> </w:t>
      </w:r>
      <w:r w:rsidR="00CF1AC5" w:rsidRPr="003E22B6">
        <w:rPr>
          <w:sz w:val="24"/>
          <w:szCs w:val="24"/>
        </w:rPr>
        <w:t xml:space="preserve">с </w:t>
      </w:r>
      <w:r w:rsidR="00CF1AC5">
        <w:rPr>
          <w:sz w:val="24"/>
          <w:szCs w:val="24"/>
        </w:rPr>
        <w:t>08</w:t>
      </w:r>
      <w:r w:rsidR="00CF1AC5" w:rsidRPr="003E22B6">
        <w:rPr>
          <w:sz w:val="24"/>
          <w:szCs w:val="24"/>
        </w:rPr>
        <w:t xml:space="preserve"> </w:t>
      </w:r>
      <w:r w:rsidR="00CF1AC5">
        <w:rPr>
          <w:sz w:val="24"/>
          <w:szCs w:val="24"/>
        </w:rPr>
        <w:t>августа</w:t>
      </w:r>
      <w:r w:rsidR="00CF1AC5" w:rsidRPr="003E22B6">
        <w:rPr>
          <w:sz w:val="24"/>
          <w:szCs w:val="24"/>
        </w:rPr>
        <w:t xml:space="preserve"> 2025 года по 31 декабря 2025 года </w:t>
      </w:r>
      <w:r w:rsidR="00645D49" w:rsidRPr="003E22B6">
        <w:rPr>
          <w:sz w:val="24"/>
          <w:szCs w:val="24"/>
        </w:rPr>
        <w:t>в размере</w:t>
      </w:r>
      <w:r w:rsidR="00CF1AC5" w:rsidRPr="003E22B6">
        <w:rPr>
          <w:sz w:val="24"/>
          <w:szCs w:val="24"/>
        </w:rPr>
        <w:t xml:space="preserve"> </w:t>
      </w:r>
      <w:r w:rsidR="00CF1AC5">
        <w:rPr>
          <w:sz w:val="24"/>
          <w:szCs w:val="24"/>
        </w:rPr>
        <w:t>53,97</w:t>
      </w:r>
      <w:r w:rsidR="00CF1AC5" w:rsidRPr="003E22B6">
        <w:rPr>
          <w:sz w:val="24"/>
          <w:szCs w:val="24"/>
        </w:rPr>
        <w:t xml:space="preserve"> руб. за 1 куб. м (без учета НДС); </w:t>
      </w:r>
      <w:r w:rsidR="00CF1AC5">
        <w:rPr>
          <w:sz w:val="24"/>
          <w:szCs w:val="24"/>
        </w:rPr>
        <w:t>64,76</w:t>
      </w:r>
      <w:r w:rsidR="00CF1AC5" w:rsidRPr="003E22B6">
        <w:rPr>
          <w:sz w:val="24"/>
          <w:szCs w:val="24"/>
        </w:rPr>
        <w:t xml:space="preserve"> руб. за 1 куб. м (с учетом НДС).</w:t>
      </w:r>
    </w:p>
    <w:p w14:paraId="59D13D25" w14:textId="77777777" w:rsidR="003F4677" w:rsidRDefault="003F4677" w:rsidP="00645D49">
      <w:pPr>
        <w:jc w:val="both"/>
        <w:rPr>
          <w:sz w:val="24"/>
          <w:szCs w:val="24"/>
        </w:rPr>
      </w:pPr>
    </w:p>
    <w:p w14:paraId="17D5030B" w14:textId="77777777" w:rsidR="00645D49" w:rsidRDefault="00645D49" w:rsidP="00645D49">
      <w:pPr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2C90161D" w14:textId="7CFFC944" w:rsidR="007730C0" w:rsidRPr="00291573" w:rsidRDefault="00451488" w:rsidP="00974283">
      <w:pPr>
        <w:jc w:val="right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B84A34" w:rsidRPr="00291573">
        <w:rPr>
          <w:sz w:val="24"/>
          <w:szCs w:val="24"/>
        </w:rPr>
        <w:t>Н.</w:t>
      </w:r>
      <w:r w:rsidR="00420773">
        <w:rPr>
          <w:sz w:val="24"/>
          <w:szCs w:val="24"/>
        </w:rPr>
        <w:t>М</w:t>
      </w:r>
      <w:r w:rsidR="00901D95">
        <w:rPr>
          <w:sz w:val="24"/>
          <w:szCs w:val="24"/>
        </w:rPr>
        <w:t xml:space="preserve">. </w:t>
      </w:r>
      <w:r w:rsidR="00420773">
        <w:rPr>
          <w:sz w:val="24"/>
          <w:szCs w:val="24"/>
        </w:rPr>
        <w:t>Андреева</w:t>
      </w: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16246987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45753">
      <w:rPr>
        <w:noProof/>
      </w:rPr>
      <w:t>7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24E4E5E"/>
    <w:multiLevelType w:val="hybridMultilevel"/>
    <w:tmpl w:val="79009842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E303E"/>
    <w:multiLevelType w:val="hybridMultilevel"/>
    <w:tmpl w:val="CCB86DE8"/>
    <w:lvl w:ilvl="0" w:tplc="4E9888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4A5345A"/>
    <w:multiLevelType w:val="hybridMultilevel"/>
    <w:tmpl w:val="E9308562"/>
    <w:lvl w:ilvl="0" w:tplc="390019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5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555464076">
    <w:abstractNumId w:val="35"/>
  </w:num>
  <w:num w:numId="2" w16cid:durableId="978610802">
    <w:abstractNumId w:val="22"/>
  </w:num>
  <w:num w:numId="3" w16cid:durableId="796679759">
    <w:abstractNumId w:val="29"/>
  </w:num>
  <w:num w:numId="4" w16cid:durableId="1951162522">
    <w:abstractNumId w:val="36"/>
  </w:num>
  <w:num w:numId="5" w16cid:durableId="1671564658">
    <w:abstractNumId w:val="14"/>
  </w:num>
  <w:num w:numId="6" w16cid:durableId="1159927605">
    <w:abstractNumId w:val="43"/>
  </w:num>
  <w:num w:numId="7" w16cid:durableId="1287194718">
    <w:abstractNumId w:val="3"/>
  </w:num>
  <w:num w:numId="8" w16cid:durableId="288708469">
    <w:abstractNumId w:val="7"/>
  </w:num>
  <w:num w:numId="9" w16cid:durableId="1903248261">
    <w:abstractNumId w:val="4"/>
  </w:num>
  <w:num w:numId="10" w16cid:durableId="578909981">
    <w:abstractNumId w:val="48"/>
  </w:num>
  <w:num w:numId="11" w16cid:durableId="911350666">
    <w:abstractNumId w:val="47"/>
  </w:num>
  <w:num w:numId="12" w16cid:durableId="61680562">
    <w:abstractNumId w:val="30"/>
  </w:num>
  <w:num w:numId="13" w16cid:durableId="282615420">
    <w:abstractNumId w:val="11"/>
  </w:num>
  <w:num w:numId="14" w16cid:durableId="187255691">
    <w:abstractNumId w:val="23"/>
  </w:num>
  <w:num w:numId="15" w16cid:durableId="738329646">
    <w:abstractNumId w:val="32"/>
  </w:num>
  <w:num w:numId="16" w16cid:durableId="1453330947">
    <w:abstractNumId w:val="40"/>
  </w:num>
  <w:num w:numId="17" w16cid:durableId="2033874172">
    <w:abstractNumId w:val="45"/>
  </w:num>
  <w:num w:numId="18" w16cid:durableId="609314549">
    <w:abstractNumId w:val="10"/>
  </w:num>
  <w:num w:numId="19" w16cid:durableId="314913380">
    <w:abstractNumId w:val="34"/>
  </w:num>
  <w:num w:numId="20" w16cid:durableId="528880106">
    <w:abstractNumId w:val="19"/>
  </w:num>
  <w:num w:numId="21" w16cid:durableId="1423575414">
    <w:abstractNumId w:val="6"/>
  </w:num>
  <w:num w:numId="22" w16cid:durableId="2036465970">
    <w:abstractNumId w:val="5"/>
  </w:num>
  <w:num w:numId="23" w16cid:durableId="105391995">
    <w:abstractNumId w:val="18"/>
  </w:num>
  <w:num w:numId="24" w16cid:durableId="345519597">
    <w:abstractNumId w:val="42"/>
  </w:num>
  <w:num w:numId="25" w16cid:durableId="2089686623">
    <w:abstractNumId w:val="33"/>
  </w:num>
  <w:num w:numId="26" w16cid:durableId="988441744">
    <w:abstractNumId w:val="39"/>
  </w:num>
  <w:num w:numId="27" w16cid:durableId="1118068796">
    <w:abstractNumId w:val="12"/>
  </w:num>
  <w:num w:numId="28" w16cid:durableId="196627935">
    <w:abstractNumId w:val="27"/>
  </w:num>
  <w:num w:numId="29" w16cid:durableId="1121806535">
    <w:abstractNumId w:val="38"/>
  </w:num>
  <w:num w:numId="30" w16cid:durableId="822428037">
    <w:abstractNumId w:val="0"/>
  </w:num>
  <w:num w:numId="31" w16cid:durableId="30308806">
    <w:abstractNumId w:val="2"/>
  </w:num>
  <w:num w:numId="32" w16cid:durableId="682829756">
    <w:abstractNumId w:val="46"/>
  </w:num>
  <w:num w:numId="33" w16cid:durableId="1535773853">
    <w:abstractNumId w:val="31"/>
  </w:num>
  <w:num w:numId="34" w16cid:durableId="1480999123">
    <w:abstractNumId w:val="17"/>
  </w:num>
  <w:num w:numId="35" w16cid:durableId="1500387971">
    <w:abstractNumId w:val="26"/>
  </w:num>
  <w:num w:numId="36" w16cid:durableId="806816879">
    <w:abstractNumId w:val="9"/>
  </w:num>
  <w:num w:numId="37" w16cid:durableId="1852062158">
    <w:abstractNumId w:val="37"/>
  </w:num>
  <w:num w:numId="38" w16cid:durableId="39670405">
    <w:abstractNumId w:val="24"/>
  </w:num>
  <w:num w:numId="39" w16cid:durableId="1407724524">
    <w:abstractNumId w:val="1"/>
  </w:num>
  <w:num w:numId="40" w16cid:durableId="1324043150">
    <w:abstractNumId w:val="20"/>
  </w:num>
  <w:num w:numId="41" w16cid:durableId="1994940684">
    <w:abstractNumId w:val="25"/>
  </w:num>
  <w:num w:numId="42" w16cid:durableId="474376709">
    <w:abstractNumId w:val="15"/>
  </w:num>
  <w:num w:numId="43" w16cid:durableId="514150245">
    <w:abstractNumId w:val="44"/>
  </w:num>
  <w:num w:numId="44" w16cid:durableId="1476677858">
    <w:abstractNumId w:val="16"/>
  </w:num>
  <w:num w:numId="45" w16cid:durableId="1653946354">
    <w:abstractNumId w:val="41"/>
  </w:num>
  <w:num w:numId="46" w16cid:durableId="1521314993">
    <w:abstractNumId w:val="8"/>
  </w:num>
  <w:num w:numId="47" w16cid:durableId="1256086135">
    <w:abstractNumId w:val="28"/>
  </w:num>
  <w:num w:numId="48" w16cid:durableId="476606673">
    <w:abstractNumId w:val="13"/>
  </w:num>
  <w:num w:numId="49" w16cid:durableId="1899049097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4766"/>
    <w:rsid w:val="00017A96"/>
    <w:rsid w:val="00020147"/>
    <w:rsid w:val="000204A8"/>
    <w:rsid w:val="0002542C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4E1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5C5C"/>
    <w:rsid w:val="002A74C3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9B8"/>
    <w:rsid w:val="003D7BED"/>
    <w:rsid w:val="003E18FB"/>
    <w:rsid w:val="003E22B6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677"/>
    <w:rsid w:val="003F4C05"/>
    <w:rsid w:val="003F57B2"/>
    <w:rsid w:val="00401057"/>
    <w:rsid w:val="00401549"/>
    <w:rsid w:val="00404690"/>
    <w:rsid w:val="00404D85"/>
    <w:rsid w:val="004057F2"/>
    <w:rsid w:val="00405E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0773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6C6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E50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0AE8"/>
    <w:rsid w:val="00642B90"/>
    <w:rsid w:val="00645753"/>
    <w:rsid w:val="00645D49"/>
    <w:rsid w:val="006501D1"/>
    <w:rsid w:val="00652957"/>
    <w:rsid w:val="006550DB"/>
    <w:rsid w:val="00655AA8"/>
    <w:rsid w:val="00655FF8"/>
    <w:rsid w:val="006568D2"/>
    <w:rsid w:val="00657B4F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483F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07B3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F0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21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553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1BDD"/>
    <w:rsid w:val="00924BC6"/>
    <w:rsid w:val="009264B5"/>
    <w:rsid w:val="009272CF"/>
    <w:rsid w:val="00931540"/>
    <w:rsid w:val="00933458"/>
    <w:rsid w:val="0093368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283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716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3A2C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27F9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4B29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1AC5"/>
    <w:rsid w:val="00CF240B"/>
    <w:rsid w:val="00CF4DDA"/>
    <w:rsid w:val="00CF7BC2"/>
    <w:rsid w:val="00D002D0"/>
    <w:rsid w:val="00D02791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1A0C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B5B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E4C3-BB78-4BA8-9102-26B1235B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5856</TotalTime>
  <Pages>8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866</cp:revision>
  <cp:lastPrinted>2025-08-11T09:48:00Z</cp:lastPrinted>
  <dcterms:created xsi:type="dcterms:W3CDTF">2022-08-12T06:23:00Z</dcterms:created>
  <dcterms:modified xsi:type="dcterms:W3CDTF">2025-08-11T14:11:00Z</dcterms:modified>
</cp:coreProperties>
</file>