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77"/>
        <w:jc w:val="center"/>
        <w:rPr>
          <w:b/>
          <w:sz w:val="28"/>
          <w:szCs w:val="20"/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2610167</wp:posOffset>
                </wp:positionH>
                <wp:positionV relativeFrom="paragraph">
                  <wp:posOffset>-546735</wp:posOffset>
                </wp:positionV>
                <wp:extent cx="720090" cy="955675"/>
                <wp:effectExtent l="0" t="0" r="0" b="0"/>
                <wp:wrapSquare wrapText="bothSides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524288;o:allowoverlap:true;o:allowincell:true;mso-position-horizontal-relative:text;margin-left:205.5pt;mso-position-horizontal:absolute;mso-position-vertical-relative:text;margin-top:-43.0pt;mso-position-vertical:absolute;width:56.7pt;height:75.3pt;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0"/>
          <w:lang w:eastAsia="ru-RU"/>
        </w:rPr>
      </w:r>
      <w:r/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355"/>
      </w:tblGrid>
      <w:tr>
        <w:trPr>
          <w:trHeight w:val="250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477"/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</w:r>
            <w:r/>
          </w:p>
        </w:tc>
      </w:tr>
      <w:tr>
        <w:trPr>
          <w:trHeight w:val="408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503"/>
              <w:contextualSpacing w:val="false"/>
              <w:ind w:left="0"/>
              <w:jc w:val="center"/>
              <w:tabs>
                <w:tab w:val="left" w:pos="1560" w:leader="none"/>
              </w:tabs>
              <w:rPr>
                <w:b/>
                <w:sz w:val="28"/>
                <w:szCs w:val="28"/>
              </w:rPr>
            </w:pPr>
            <w:r/>
            <w:bookmarkStart w:id="0" w:name="_Hlk223104786"/>
            <w:r>
              <w:rPr>
                <w:b/>
                <w:sz w:val="28"/>
                <w:szCs w:val="28"/>
              </w:rPr>
              <w:t xml:space="preserve">МИНИСТЕРСТВО ПО ТАРИФНОМУ РЕГУЛИРОВАНИЮ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503"/>
              <w:contextualSpacing w:val="false"/>
              <w:ind w:left="0"/>
              <w:jc w:val="center"/>
              <w:tabs>
                <w:tab w:val="left" w:pos="156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 ГОСУДАРСТВЕННЫМ ЗАКУПКАМ ПЕНЗЕНСКОЙ ОБЛАСТИ</w:t>
            </w:r>
            <w:bookmarkEnd w:id="0"/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trHeight w:val="250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477"/>
              <w:jc w:val="center"/>
              <w:spacing w:after="120" w:before="12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375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477"/>
              <w:jc w:val="center"/>
              <w:keepNext/>
              <w:spacing w:after="240" w:before="120"/>
              <w:rPr>
                <w:b/>
                <w:sz w:val="40"/>
                <w:szCs w:val="20"/>
                <w:lang w:eastAsia="ru-RU"/>
              </w:rPr>
              <w:outlineLvl w:val="2"/>
            </w:pPr>
            <w:r>
              <w:rPr>
                <w:b/>
                <w:sz w:val="32"/>
                <w:szCs w:val="20"/>
                <w:lang w:eastAsia="ru-RU"/>
              </w:rPr>
              <w:t xml:space="preserve">П Р</w:t>
            </w:r>
            <w:r>
              <w:rPr>
                <w:b/>
                <w:sz w:val="32"/>
                <w:szCs w:val="20"/>
                <w:lang w:eastAsia="ru-RU"/>
              </w:rPr>
              <w:t xml:space="preserve"> И К А З</w:t>
            </w:r>
            <w:r>
              <w:rPr>
                <w:b/>
                <w:sz w:val="32"/>
                <w:szCs w:val="20"/>
                <w:lang w:eastAsia="ru-RU"/>
              </w:rPr>
              <w:t xml:space="preserve"> </w:t>
            </w:r>
            <w:r>
              <w:rPr>
                <w:b/>
                <w:sz w:val="40"/>
                <w:szCs w:val="20"/>
                <w:lang w:eastAsia="ru-RU"/>
              </w:rPr>
            </w:r>
            <w:r/>
          </w:p>
        </w:tc>
      </w:tr>
      <w:tr>
        <w:trPr>
          <w:trHeight w:val="50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477"/>
              <w:jc w:val="center"/>
              <w:keepNext/>
              <w:rPr>
                <w:b/>
                <w:sz w:val="40"/>
                <w:szCs w:val="20"/>
                <w:lang w:eastAsia="ru-RU"/>
              </w:rPr>
              <w:outlineLvl w:val="2"/>
            </w:pPr>
            <w:r>
              <w:rPr>
                <w:b/>
                <w:sz w:val="40"/>
                <w:szCs w:val="20"/>
                <w:lang w:eastAsia="ru-RU"/>
              </w:rPr>
            </w:r>
            <w:r/>
          </w:p>
        </w:tc>
      </w:tr>
    </w:tbl>
    <w:p>
      <w:pPr>
        <w:pStyle w:val="477"/>
        <w:rPr>
          <w:vanish/>
          <w:sz w:val="4"/>
          <w:szCs w:val="4"/>
        </w:rPr>
      </w:pPr>
      <w:r>
        <w:rPr>
          <w:vanish/>
          <w:sz w:val="4"/>
          <w:szCs w:val="4"/>
        </w:rPr>
      </w:r>
      <w:r/>
    </w:p>
    <w:tbl>
      <w:tblPr>
        <w:tblpPr w:horzAnchor="margin" w:tblpXSpec="center" w:vertAnchor="text" w:tblpY="66" w:leftFromText="180" w:topFromText="0" w:rightFromText="180" w:bottomFromText="0"/>
        <w:tblW w:w="0" w:type="auto"/>
        <w:tblInd w:w="0" w:type="dxa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397"/>
        <w:gridCol w:w="113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pStyle w:val="477"/>
              <w:jc w:val="center"/>
              <w:rPr>
                <w:sz w:val="28"/>
                <w:lang w:eastAsia="ru-RU"/>
              </w:rPr>
              <w:framePr w:hSpace="180" w:wrap="around" w:vAnchor="text" w:hAnchor="margin" w:xAlign="center" w:y="66"/>
            </w:pPr>
            <w:r>
              <w:rPr>
                <w:sz w:val="28"/>
                <w:lang w:eastAsia="ru-RU"/>
              </w:rPr>
              <w:t xml:space="preserve">от</w:t>
            </w:r>
            <w:r/>
          </w:p>
        </w:tc>
        <w:tc>
          <w:tcPr>
            <w:tcBorders>
              <w:bottom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477"/>
              <w:jc w:val="center"/>
              <w:rPr>
                <w:color w:val="000000"/>
                <w:sz w:val="26"/>
                <w:szCs w:val="26"/>
                <w:lang w:eastAsia="ru-RU"/>
              </w:rPr>
              <w:framePr w:hSpace="180" w:wrap="around" w:vAnchor="text" w:hAnchor="margin" w:xAlign="center" w:y="66"/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13.05.2026</w:t>
            </w:r>
            <w:r>
              <w:rPr>
                <w:color w:val="000000"/>
                <w:sz w:val="26"/>
                <w:szCs w:val="26"/>
                <w:lang w:eastAsia="ru-RU"/>
              </w:rPr>
            </w:r>
            <w:r/>
          </w:p>
        </w:tc>
        <w:tc>
          <w:tcPr>
            <w:tcW w:w="397" w:type="dxa"/>
            <w:vAlign w:val="top"/>
            <w:textDirection w:val="lrTb"/>
            <w:noWrap w:val="false"/>
          </w:tcPr>
          <w:p>
            <w:pPr>
              <w:pStyle w:val="477"/>
              <w:jc w:val="center"/>
              <w:rPr>
                <w:sz w:val="28"/>
                <w:lang w:eastAsia="ru-RU"/>
              </w:rPr>
              <w:framePr w:hSpace="180" w:wrap="around" w:vAnchor="text" w:hAnchor="margin" w:xAlign="center" w:y="66"/>
            </w:pPr>
            <w:r>
              <w:rPr>
                <w:sz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477"/>
              <w:jc w:val="center"/>
              <w:rPr>
                <w:color w:val="000000"/>
                <w:sz w:val="26"/>
                <w:szCs w:val="26"/>
                <w:lang w:eastAsia="ru-RU"/>
              </w:rPr>
              <w:framePr w:hSpace="180" w:wrap="around" w:vAnchor="text" w:hAnchor="margin" w:xAlign="center" w:y="66"/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34-п</w:t>
            </w:r>
            <w:r>
              <w:rPr>
                <w:color w:val="000000"/>
                <w:sz w:val="26"/>
                <w:szCs w:val="26"/>
                <w:lang w:eastAsia="ru-RU"/>
              </w:rPr>
            </w:r>
            <w:r/>
          </w:p>
        </w:tc>
      </w:tr>
      <w:tr>
        <w:trPr/>
        <w:tc>
          <w:tcPr>
            <w:gridSpan w:val="4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792" w:type="dxa"/>
            <w:vAlign w:val="top"/>
            <w:textDirection w:val="lrTb"/>
            <w:noWrap w:val="false"/>
          </w:tcPr>
          <w:p>
            <w:pPr>
              <w:pStyle w:val="477"/>
              <w:jc w:val="center"/>
              <w:rPr>
                <w:sz w:val="4"/>
                <w:szCs w:val="4"/>
                <w:lang w:eastAsia="ru-RU"/>
              </w:rPr>
              <w:framePr w:hSpace="180" w:wrap="around" w:vAnchor="text" w:hAnchor="margin" w:xAlign="center" w:y="66"/>
            </w:pPr>
            <w:r>
              <w:rPr>
                <w:sz w:val="4"/>
                <w:szCs w:val="4"/>
                <w:lang w:eastAsia="ru-RU"/>
              </w:rPr>
            </w:r>
            <w:r/>
          </w:p>
          <w:p>
            <w:pPr>
              <w:pStyle w:val="477"/>
              <w:jc w:val="center"/>
              <w:rPr>
                <w:sz w:val="28"/>
                <w:szCs w:val="28"/>
                <w:lang w:eastAsia="ru-RU"/>
              </w:rPr>
              <w:framePr w:hSpace="180" w:wrap="around" w:vAnchor="text" w:hAnchor="margin" w:xAlign="center" w:y="66"/>
            </w:pPr>
            <w:r>
              <w:rPr>
                <w:sz w:val="28"/>
                <w:szCs w:val="28"/>
                <w:lang w:eastAsia="ru-RU"/>
              </w:rPr>
              <w:t xml:space="preserve">г. Пенза</w:t>
            </w:r>
            <w:r/>
          </w:p>
        </w:tc>
      </w:tr>
    </w:tbl>
    <w:p>
      <w:pPr>
        <w:pStyle w:val="477"/>
        <w:jc w:val="center"/>
        <w:rPr>
          <w:lang w:eastAsia="ru-RU"/>
        </w:rPr>
      </w:pPr>
      <w:r>
        <w:rPr>
          <w:lang w:eastAsia="ru-RU"/>
        </w:rPr>
      </w:r>
      <w:r/>
    </w:p>
    <w:p>
      <w:pPr>
        <w:pStyle w:val="477"/>
        <w:jc w:val="center"/>
        <w:rPr>
          <w:lang w:eastAsia="ru-RU"/>
        </w:rPr>
      </w:pPr>
      <w:r>
        <w:rPr>
          <w:lang w:eastAsia="ru-RU"/>
        </w:rPr>
      </w:r>
      <w:r/>
    </w:p>
    <w:p>
      <w:pPr>
        <w:pStyle w:val="477"/>
        <w:jc w:val="center"/>
        <w:keepNext/>
        <w:rPr>
          <w:lang w:eastAsia="ru-RU"/>
        </w:rPr>
        <w:outlineLvl w:val="2"/>
      </w:pPr>
      <w:r>
        <w:rPr>
          <w:lang w:eastAsia="ru-RU"/>
        </w:rPr>
      </w:r>
      <w:r/>
    </w:p>
    <w:p>
      <w:pPr>
        <w:pStyle w:val="477"/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pStyle w:val="477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/>
    </w:p>
    <w:p>
      <w:pPr>
        <w:pStyle w:val="4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установлени</w:t>
      </w:r>
      <w:r>
        <w:rPr>
          <w:b/>
          <w:sz w:val="28"/>
          <w:szCs w:val="28"/>
        </w:rPr>
        <w:t xml:space="preserve">и размера</w:t>
      </w:r>
      <w:r>
        <w:rPr>
          <w:b/>
          <w:sz w:val="28"/>
          <w:szCs w:val="28"/>
        </w:rPr>
        <w:t xml:space="preserve"> платы за технологическое присоединение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индивидуальному проекту к газораспределительной сети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АО «ГОРГАЗ» </w:t>
      </w:r>
      <w:r>
        <w:rPr>
          <w:b/>
          <w:sz w:val="28"/>
          <w:szCs w:val="28"/>
        </w:rPr>
        <w:t xml:space="preserve">газоиспользующего оборудования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ООО «Специализированный застройщик «Энергоучет», являющегося правообладателем земельного участка</w:t>
      </w:r>
      <w:r>
        <w:rPr>
          <w:b/>
          <w:sz w:val="28"/>
          <w:szCs w:val="28"/>
        </w:rPr>
        <w:t xml:space="preserve">, расположенного по адресу:</w:t>
      </w:r>
      <w:r>
        <w:rPr>
          <w:b/>
          <w:sz w:val="28"/>
          <w:szCs w:val="28"/>
        </w:rPr>
        <w:t xml:space="preserve"> Пензенская область, ЗАТО г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Заречный, ул. Конституции СССР, 5А, осуществляющего на нем строительство многоквартирного дома, с последующим его подключением (технологическим присоединением) к газораспределительной сети</w:t>
      </w:r>
      <w:r>
        <w:rPr>
          <w:b/>
          <w:sz w:val="28"/>
          <w:szCs w:val="28"/>
        </w:rPr>
      </w:r>
      <w:r/>
    </w:p>
    <w:p>
      <w:pPr>
        <w:pStyle w:val="477"/>
        <w:jc w:val="center"/>
        <w:rPr>
          <w:b/>
          <w:sz w:val="28"/>
          <w:szCs w:val="28"/>
          <w:highlight w:val="yellow"/>
          <w:lang w:eastAsia="ru-RU"/>
        </w:rPr>
      </w:pPr>
      <w:r>
        <w:rPr>
          <w:b/>
          <w:sz w:val="28"/>
          <w:szCs w:val="28"/>
          <w:highlight w:val="yellow"/>
          <w:lang w:eastAsia="ru-RU"/>
        </w:rPr>
      </w:r>
      <w:r/>
    </w:p>
    <w:p>
      <w:pPr>
        <w:pStyle w:val="477"/>
        <w:ind w:firstLine="539"/>
        <w:jc w:val="both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31.03.1999 № 69-ФЗ «О газоснабжении в Российской Федерации» (с последующи</w:t>
      </w:r>
      <w:r>
        <w:rPr>
          <w:sz w:val="28"/>
          <w:szCs w:val="28"/>
        </w:rPr>
        <w:t xml:space="preserve">ми изменениями), постановлениями</w:t>
      </w:r>
      <w:r>
        <w:rPr>
          <w:sz w:val="28"/>
          <w:szCs w:val="28"/>
        </w:rPr>
        <w:t xml:space="preserve"> Правительства Российской Федерации от 29.12.2000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 1021 «</w:t>
      </w:r>
      <w:r>
        <w:rPr>
          <w:sz w:val="28"/>
          <w:szCs w:val="28"/>
        </w:rPr>
        <w:t xml:space="preserve">О государственном регулировании цен на газ, тарифов н</w:t>
      </w:r>
      <w:r>
        <w:rPr>
          <w:sz w:val="28"/>
          <w:szCs w:val="28"/>
        </w:rPr>
        <w:t xml:space="preserve">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</w:t>
      </w:r>
      <w:r>
        <w:rPr>
          <w:sz w:val="28"/>
          <w:szCs w:val="28"/>
        </w:rPr>
        <w:t xml:space="preserve">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>
        <w:rPr>
          <w:sz w:val="28"/>
          <w:szCs w:val="28"/>
        </w:rPr>
        <w:t xml:space="preserve">» (с последующими изменениями), </w:t>
      </w:r>
      <w:r>
        <w:rPr>
          <w:sz w:val="28"/>
          <w:szCs w:val="28"/>
        </w:rPr>
        <w:t xml:space="preserve">от 13.09.2021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>
        <w:rPr>
          <w:sz w:val="28"/>
          <w:szCs w:val="28"/>
        </w:rPr>
        <w:t xml:space="preserve">, приказом ФАС России от 16.08.2018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</w:t>
      </w:r>
      <w:r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, руководствуясь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 о Министерстве </w:t>
      </w:r>
      <w:r>
        <w:rPr>
          <w:sz w:val="28"/>
          <w:szCs w:val="28"/>
        </w:rPr>
        <w:t xml:space="preserve">по тарифному регулированию и государственным закупкам</w:t>
      </w:r>
      <w:r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утвержденным Постановлением Правительства Пензенской области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17.02.2026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111</w:t>
      </w:r>
      <w:r>
        <w:rPr>
          <w:sz w:val="28"/>
          <w:szCs w:val="28"/>
        </w:rPr>
        <w:t xml:space="preserve">-пП</w:t>
      </w:r>
      <w:r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протокола заседания Правления Министерства </w:t>
      </w:r>
      <w:r>
        <w:rPr>
          <w:sz w:val="28"/>
          <w:szCs w:val="28"/>
        </w:rPr>
        <w:t xml:space="preserve">по тарифному регулированию и государственным закупкам</w:t>
      </w:r>
      <w:r>
        <w:rPr>
          <w:sz w:val="28"/>
          <w:szCs w:val="28"/>
        </w:rPr>
        <w:t xml:space="preserve"> Пензенской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13 мая 2026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15  </w:t>
      </w:r>
      <w:r>
        <w:rPr>
          <w:b/>
          <w:sz w:val="28"/>
          <w:szCs w:val="28"/>
        </w:rPr>
        <w:t xml:space="preserve">п р и к а з ы в а 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477"/>
        <w:ind w:firstLine="709"/>
        <w:jc w:val="both"/>
        <w:tabs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размер </w:t>
      </w:r>
      <w:r>
        <w:rPr>
          <w:sz w:val="28"/>
          <w:szCs w:val="28"/>
        </w:rPr>
        <w:t xml:space="preserve">платы </w:t>
      </w:r>
      <w:r>
        <w:rPr>
          <w:spacing w:val="-2"/>
          <w:sz w:val="28"/>
          <w:szCs w:val="28"/>
        </w:rPr>
        <w:t xml:space="preserve">за технологическое присоединение по индивидуальному проекту к газораспределительной сети АО «Г</w:t>
      </w:r>
      <w:r>
        <w:rPr>
          <w:spacing w:val="-2"/>
          <w:sz w:val="28"/>
          <w:szCs w:val="28"/>
        </w:rPr>
        <w:t xml:space="preserve">ОРГАЗ</w:t>
      </w:r>
      <w:r>
        <w:rPr>
          <w:spacing w:val="-2"/>
          <w:sz w:val="28"/>
          <w:szCs w:val="28"/>
        </w:rPr>
        <w:t xml:space="preserve">» </w:t>
      </w:r>
      <w:r>
        <w:rPr>
          <w:spacing w:val="-2"/>
          <w:sz w:val="28"/>
          <w:szCs w:val="28"/>
        </w:rPr>
        <w:t xml:space="preserve">газоиспользующего обо</w:t>
      </w:r>
      <w:r>
        <w:rPr>
          <w:spacing w:val="-2"/>
          <w:sz w:val="28"/>
          <w:szCs w:val="28"/>
        </w:rPr>
        <w:t xml:space="preserve">рудования ООО «Специализированный застройщик «Энергоучет», являющегося правообладателем земельного участка, расположенного по адресу: Пензенская область, ЗАТО г. Заречный, ул. Конституции СССР, 5А, осуществляющего на нем строительство многоквартирного дома</w:t>
      </w:r>
      <w:r>
        <w:rPr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с последующим его подключением (технологическим присоединением) к газораспределительной сет</w:t>
      </w:r>
      <w:r>
        <w:rPr>
          <w:sz w:val="28"/>
          <w:szCs w:val="28"/>
        </w:rPr>
        <w:t xml:space="preserve">и согласно Приложению</w:t>
      </w:r>
      <w:r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477"/>
        <w:numPr>
          <w:ilvl w:val="0"/>
          <w:numId w:val="34"/>
        </w:numPr>
        <w:ind w:left="0"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Настоящий приказ разместить (опубликовать) на официальном 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по тарифному регулированию и государственным закупкам</w:t>
      </w:r>
      <w:r>
        <w:rPr>
          <w:sz w:val="28"/>
          <w:szCs w:val="28"/>
        </w:rPr>
        <w:t xml:space="preserve"> Пензенской области в информационно - телекоммуникационной сети «Интернет».</w:t>
      </w:r>
      <w:r/>
    </w:p>
    <w:p>
      <w:pPr>
        <w:pStyle w:val="477"/>
        <w:ind w:firstLine="709"/>
        <w:jc w:val="both"/>
        <w:tabs>
          <w:tab w:val="left" w:pos="993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>
        <w:rPr>
          <w:sz w:val="28"/>
          <w:szCs w:val="28"/>
          <w:lang w:val="en-US" w:eastAsia="ru-RU"/>
        </w:rPr>
        <w:t xml:space="preserve">Настоящий приказ вступает в силу с </w:t>
      </w:r>
      <w:r>
        <w:rPr>
          <w:sz w:val="28"/>
          <w:szCs w:val="28"/>
          <w:lang w:eastAsia="ru-RU"/>
        </w:rPr>
        <w:t xml:space="preserve">13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мая</w:t>
      </w:r>
      <w:r>
        <w:rPr>
          <w:sz w:val="28"/>
          <w:szCs w:val="28"/>
          <w:lang w:eastAsia="ru-RU"/>
        </w:rPr>
        <w:t xml:space="preserve"> 2026 года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eastAsia="ru-RU"/>
        </w:rPr>
      </w:r>
      <w:r/>
    </w:p>
    <w:p>
      <w:pPr>
        <w:pStyle w:val="477"/>
        <w:ind w:firstLine="709"/>
        <w:jc w:val="both"/>
        <w:tabs>
          <w:tab w:val="left" w:pos="993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>
        <w:rPr>
          <w:sz w:val="28"/>
          <w:szCs w:val="28"/>
          <w:lang w:eastAsia="ru-RU"/>
        </w:rPr>
        <w:t xml:space="preserve">Контроль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</w:rPr>
        <w:t xml:space="preserve">а исполнением настоящего приказа </w:t>
      </w:r>
      <w:r>
        <w:rPr>
          <w:sz w:val="28"/>
          <w:szCs w:val="28"/>
        </w:rPr>
        <w:t xml:space="preserve">оставляю за собой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/>
    </w:p>
    <w:p>
      <w:pPr>
        <w:pStyle w:val="47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47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477"/>
        <w:jc w:val="both"/>
      </w:pPr>
      <w:r>
        <w:rPr>
          <w:sz w:val="28"/>
          <w:szCs w:val="28"/>
          <w:lang w:eastAsia="ru-RU"/>
        </w:rPr>
      </w:r>
      <w:r/>
    </w:p>
    <w:p>
      <w:pPr>
        <w:pStyle w:val="477"/>
        <w:jc w:val="both"/>
        <w:tabs>
          <w:tab w:val="left" w:pos="0" w:leader="none"/>
          <w:tab w:val="left" w:pos="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Д.И. Сагайдачный</w:t>
      </w:r>
      <w:r>
        <w:rPr>
          <w:sz w:val="28"/>
          <w:szCs w:val="28"/>
        </w:rPr>
      </w:r>
      <w:r/>
    </w:p>
    <w:p>
      <w:pPr>
        <w:pStyle w:val="477"/>
        <w:jc w:val="both"/>
        <w:tabs>
          <w:tab w:val="left" w:pos="0" w:leader="none"/>
          <w:tab w:val="left" w:pos="4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77"/>
        <w:jc w:val="both"/>
        <w:tabs>
          <w:tab w:val="left" w:pos="0" w:leader="none"/>
          <w:tab w:val="left" w:pos="45" w:leader="none"/>
        </w:tabs>
        <w:rPr>
          <w:sz w:val="27"/>
          <w:szCs w:val="27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sz w:val="27"/>
          <w:szCs w:val="27"/>
        </w:rPr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приказ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</w:r>
      <w:r/>
    </w:p>
    <w:p>
      <w:pPr>
        <w:pStyle w:val="47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по тарифному регулированию</w:t>
      </w:r>
      <w:r>
        <w:rPr>
          <w:sz w:val="28"/>
          <w:szCs w:val="28"/>
        </w:rPr>
      </w:r>
      <w:r/>
    </w:p>
    <w:p>
      <w:pPr>
        <w:pStyle w:val="47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государственным закупкам</w:t>
      </w:r>
      <w:r>
        <w:rPr>
          <w:sz w:val="28"/>
          <w:szCs w:val="28"/>
        </w:rPr>
        <w:t xml:space="preserve"> Пензенской области</w:t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13.05.2026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34-п</w:t>
      </w:r>
      <w:r>
        <w:rPr>
          <w:sz w:val="28"/>
          <w:szCs w:val="28"/>
        </w:rPr>
      </w:r>
      <w:r/>
    </w:p>
    <w:p>
      <w:pPr>
        <w:pStyle w:val="47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47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РАЗМЕР ПЛАТЫ ЗА ТЕХНОЛОГИЧЕСКОЕ ПРИСОЕДИНЕНИЕ</w:t>
      </w:r>
      <w:r>
        <w:rPr>
          <w:bCs/>
          <w:sz w:val="28"/>
          <w:szCs w:val="28"/>
        </w:rPr>
      </w:r>
      <w:r/>
    </w:p>
    <w:p>
      <w:pPr>
        <w:pStyle w:val="477"/>
        <w:jc w:val="center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ПО ИНДИВИДУАЛЬНОМУ </w:t>
      </w:r>
      <w:r>
        <w:rPr>
          <w:bCs/>
          <w:sz w:val="28"/>
          <w:szCs w:val="28"/>
        </w:rPr>
        <w:t xml:space="preserve">ПРОЕКТУ К ГАЗОРАСПРЕДЕЛИТЕЛЬНОЙ СЕТИ АО «ГОРГАЗ» </w:t>
      </w:r>
      <w:r>
        <w:rPr>
          <w:bCs/>
          <w:sz w:val="28"/>
          <w:szCs w:val="28"/>
        </w:rPr>
        <w:t xml:space="preserve">ГАЗОИСПОЛЬЗУЮЩЕГО ОБОРУДОВАНИЯ</w:t>
      </w:r>
      <w:r>
        <w:rPr>
          <w:bCs/>
          <w:sz w:val="28"/>
          <w:szCs w:val="28"/>
        </w:rPr>
      </w:r>
      <w:r/>
    </w:p>
    <w:p>
      <w:pPr>
        <w:pStyle w:val="477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ООО «СПЕЦИАЛИЗИРОВАННЫЙ ЗАСТРОЙЩИК «ЭНЕРГОУЧЕТ», ЯВЛЯЮЩЕГОСЯ ПРАВООБЛАДАТЕЛЕМ ЗЕМЕЛЬНОГО УЧАСТКА, РАСПОЛОЖЕННОГО ПО АДРЕСУ: ПЕНЗЕНСКАЯ ОБЛАСТЬ, ЗАТО</w:t>
      </w:r>
      <w:r>
        <w:rPr>
          <w:spacing w:val="-2"/>
          <w:sz w:val="28"/>
          <w:szCs w:val="28"/>
        </w:rPr>
      </w:r>
      <w:r/>
    </w:p>
    <w:p>
      <w:pPr>
        <w:pStyle w:val="477"/>
        <w:jc w:val="center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 xml:space="preserve">Г. ЗАРЕЧНЫЙ, УЛ. КОНСТИТУЦИИ СССР, 5А, ОСУЩЕСТВЛЯЮЩЕГО НА НЕМ СТРОИТЕЛЬСТВО МНОГОКВАРТИРНОГО ДОМА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 ПОСЛЕДУЮЩИМ ЕГО ПОДКЛЮЧЕНИЕМ (ТЕХНОЛОГИЧЕСКИМ</w:t>
      </w:r>
      <w:r>
        <w:rPr>
          <w:bCs/>
          <w:spacing w:val="-2"/>
          <w:sz w:val="28"/>
          <w:szCs w:val="28"/>
        </w:rPr>
        <w:t xml:space="preserve"> ПРИСОЕДИНЕНИЕМ) К</w:t>
      </w:r>
      <w:r>
        <w:rPr>
          <w:bCs/>
          <w:spacing w:val="-2"/>
          <w:sz w:val="28"/>
          <w:szCs w:val="28"/>
        </w:rPr>
        <w:t xml:space="preserve"> </w:t>
      </w:r>
      <w:r>
        <w:rPr>
          <w:bCs/>
          <w:spacing w:val="-2"/>
          <w:sz w:val="28"/>
          <w:szCs w:val="28"/>
        </w:rPr>
        <w:t xml:space="preserve">ГАЗОРАСПРЕДЕЛИТЕЛЬНОЙ СЕТИ</w:t>
      </w:r>
      <w:r>
        <w:rPr>
          <w:bCs/>
          <w:sz w:val="28"/>
          <w:szCs w:val="28"/>
        </w:rPr>
      </w:r>
      <w:r/>
    </w:p>
    <w:p>
      <w:pPr>
        <w:pStyle w:val="477"/>
        <w:ind w:firstLine="709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</w:r>
      <w:r/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1"/>
        <w:gridCol w:w="6363"/>
        <w:gridCol w:w="2387"/>
      </w:tblGrid>
      <w:tr>
        <w:trPr>
          <w:trHeight w:val="264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 w:val="false"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</w:t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center"/>
            <w:textDirection w:val="lrTb"/>
            <w:noWrap w:val="false"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Расходы, тыс. руб.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разработку проектной документации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79,097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выполнение технических условий, в т.ч.: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978,157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стальных газопроводов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Наземная (надземная) прокладка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2.1.1.1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158 мм и менее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2.1.1.2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159 - 218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2.1.1.3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219 - 272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2.1.1.4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273 - 324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2.1.1.5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325 - 425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2.1.1.6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426 - 529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2.1.1.7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530 мм и выше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Подземная прокладка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66,716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2.1.2.1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158 мм и менее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66,716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2.1.2.2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159 - 218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2.1.2.3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219 - 272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2.1.2.4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273 - 324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2.1.2.5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325 - 425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2.1.2.6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426 - 529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2.1.2.7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530 мм и выше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полиэтиленовых газопроводов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539,350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2.2.1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109 мм и менее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2.2.2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110 - 159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539,350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2.2.3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160 - 224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2.2.4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225 - 314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2.2.5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315 - 399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2.2.6</w:t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мм и выше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(реконструкция) пунктов редуцирования газа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314,591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2.3.1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40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2.3.2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40 - 99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314,591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2.3.3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100 - 399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2.3.4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400 - 999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2.3.5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1000 - 1999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2.3.6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2000 - 2999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2.3.7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3000 - 3999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2.3.8</w:t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4000 - 4999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5000 - 9999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2.3.10</w:t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10000 - 19999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2.3.11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20000 - 29999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2.3.12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30000 куб. метров в час и выше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(реконструкция) систем электрохимической (катодной) защиты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2.4.1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 кВт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2.4.2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 кВт до 2 кВт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2.4.3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 кВт до 3 кВт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2.4.4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3 кВт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528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ликвидацию дефицита пропускной способности существующих сетей газораспределения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bottom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528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осуществление государственной регистрации права собственности на созданную ГРО газораспределительную сеть в целях подключения (технического присоединения) объекта капитального строительства Заявителя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57,500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11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Расходы, связанные с мониторингом выполнения Заявителем технических условий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6,07080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11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</w:t>
            </w:r>
            <w:r>
              <w:rPr>
                <w:sz w:val="22"/>
                <w:szCs w:val="22"/>
              </w:rPr>
              <w:t xml:space="preserve">, связанные с приемом заявки о подключении, подготовкой договора о</w:t>
            </w:r>
            <w:r>
              <w:rPr>
                <w:sz w:val="22"/>
                <w:szCs w:val="22"/>
              </w:rPr>
              <w:t xml:space="preserve"> подключении</w:t>
            </w:r>
            <w:r>
              <w:rPr>
                <w:sz w:val="22"/>
                <w:szCs w:val="22"/>
              </w:rPr>
              <w:t xml:space="preserve"> и дополнительных соглашений к нему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0,616</w:t>
            </w: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78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Расходы, связанные с осуществлением фактического подключения (технологического присоединения) объектов капитального строительства Заявителя к сети газораспределения и проведением пуска газа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8,72028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Эффективная ставка налога на прибыль, в %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  <w:t xml:space="preserve">%</w:t>
            </w:r>
            <w:r>
              <w:rPr>
                <w:sz w:val="22"/>
                <w:szCs w:val="22"/>
                <w:lang w:val="en-US"/>
              </w:rPr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прибыль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проведение мероприятий по технологическому присоединению газоиспользующего оборудования заявителя, всего: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8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1 072,66151</w:t>
            </w:r>
            <w:r>
              <w:rPr>
                <w:sz w:val="22"/>
                <w:szCs w:val="22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475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54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619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69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76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835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90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97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10514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477"/>
        <w:ind w:left="3303" w:hanging="360"/>
        <w:tabs>
          <w:tab w:val="num" w:pos="3303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4023" w:hanging="360"/>
        <w:tabs>
          <w:tab w:val="num" w:pos="4023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4743" w:hanging="360"/>
        <w:tabs>
          <w:tab w:val="num" w:pos="4743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477"/>
        <w:ind w:left="5463" w:hanging="360"/>
        <w:tabs>
          <w:tab w:val="num" w:pos="5463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477"/>
        <w:ind w:left="6183" w:hanging="360"/>
        <w:tabs>
          <w:tab w:val="num" w:pos="6183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6903" w:hanging="360"/>
        <w:tabs>
          <w:tab w:val="num" w:pos="6903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477"/>
        <w:ind w:left="7623" w:hanging="360"/>
        <w:tabs>
          <w:tab w:val="num" w:pos="7623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477"/>
        <w:ind w:left="8343" w:hanging="360"/>
        <w:tabs>
          <w:tab w:val="num" w:pos="8343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9063" w:hanging="360"/>
        <w:tabs>
          <w:tab w:val="num" w:pos="9063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477"/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477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477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477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477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477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477"/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1977" w:hanging="1410"/>
      </w:pPr>
    </w:lvl>
    <w:lvl w:ilvl="1">
      <w:start w:val="1"/>
      <w:numFmt w:val="decimal"/>
      <w:isLgl w:val="false"/>
      <w:suff w:val="tab"/>
      <w:lvlText w:val="%1.%2."/>
      <w:lvlJc w:val="left"/>
      <w:pPr>
        <w:pStyle w:val="477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477"/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77"/>
        <w:ind w:left="207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77"/>
        <w:ind w:left="221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77"/>
        <w:ind w:left="271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77"/>
        <w:ind w:left="285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77"/>
        <w:ind w:left="336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77"/>
        <w:ind w:left="3863" w:hanging="2160"/>
      </w:p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477"/>
        <w:ind w:left="720" w:hanging="360"/>
        <w:tabs>
          <w:tab w:val="num" w:pos="720" w:leader="none"/>
        </w:tabs>
      </w:pPr>
    </w:lvl>
    <w:lvl w:ilvl="1">
      <w:start w:val="5"/>
      <w:numFmt w:val="decimal"/>
      <w:isLgl w:val="false"/>
      <w:suff w:val="tab"/>
      <w:lvlText w:val="%2."/>
      <w:lvlJc w:val="left"/>
      <w:pPr>
        <w:pStyle w:val="477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477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477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477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477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477"/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pStyle w:val="477"/>
        <w:ind w:left="36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10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180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5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32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396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46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54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6121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1977" w:hanging="1410"/>
      </w:pPr>
    </w:lvl>
    <w:lvl w:ilvl="1">
      <w:start w:val="1"/>
      <w:numFmt w:val="decimal"/>
      <w:isLgl w:val="false"/>
      <w:suff w:val="tab"/>
      <w:lvlText w:val="%1.%2."/>
      <w:lvlJc w:val="left"/>
      <w:pPr>
        <w:pStyle w:val="477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477"/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77"/>
        <w:ind w:left="207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77"/>
        <w:ind w:left="221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77"/>
        <w:ind w:left="271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77"/>
        <w:ind w:left="285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77"/>
        <w:ind w:left="336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77"/>
        <w:ind w:left="3863" w:hanging="216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477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477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477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477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477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477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477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477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477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477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477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477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477"/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477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477"/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718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1977" w:hanging="1410"/>
      </w:pPr>
    </w:lvl>
    <w:lvl w:ilvl="1">
      <w:start w:val="1"/>
      <w:numFmt w:val="decimal"/>
      <w:isLgl w:val="false"/>
      <w:suff w:val="tab"/>
      <w:lvlText w:val="%1.%2."/>
      <w:lvlJc w:val="left"/>
      <w:pPr>
        <w:pStyle w:val="477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477"/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77"/>
        <w:ind w:left="207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77"/>
        <w:ind w:left="221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77"/>
        <w:ind w:left="271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77"/>
        <w:ind w:left="285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77"/>
        <w:ind w:left="336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77"/>
        <w:ind w:left="3863" w:hanging="216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477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6829" w:hanging="180"/>
      </w:pPr>
    </w:lvl>
  </w:abstractNum>
  <w:abstractNum w:abstractNumId="12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pStyle w:val="477"/>
        <w:ind w:left="36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10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180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5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32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396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46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54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6121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2.%1. "/>
      <w:legacy w:legacy="1" w:legacyIndent="0" w:legacySpace="0"/>
      <w:lvlJc w:val="left"/>
      <w:pPr>
        <w:pStyle w:val="477"/>
        <w:ind w:left="3402" w:hanging="283"/>
      </w:pPr>
      <w:rPr>
        <w:b w:val="false"/>
        <w:i w:val="false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477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477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477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477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477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pStyle w:val="477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1977" w:hanging="1410"/>
      </w:pPr>
    </w:lvl>
    <w:lvl w:ilvl="1">
      <w:start w:val="1"/>
      <w:numFmt w:val="decimal"/>
      <w:isLgl w:val="false"/>
      <w:suff w:val="tab"/>
      <w:lvlText w:val="%1.%2."/>
      <w:lvlJc w:val="left"/>
      <w:pPr>
        <w:pStyle w:val="477"/>
        <w:ind w:left="3698" w:hanging="720"/>
      </w:pPr>
      <w:rPr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477"/>
        <w:ind w:left="908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77"/>
        <w:ind w:left="207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77"/>
        <w:ind w:left="221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77"/>
        <w:ind w:left="271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77"/>
        <w:ind w:left="285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77"/>
        <w:ind w:left="336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77"/>
        <w:ind w:left="3863" w:hanging="2160"/>
      </w:pPr>
    </w:lvl>
  </w:abstractNum>
  <w:abstractNum w:abstractNumId="1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477"/>
        <w:ind w:left="720" w:hanging="360"/>
        <w:tabs>
          <w:tab w:val="num" w:pos="720" w:leader="none"/>
        </w:tabs>
      </w:pPr>
    </w:lvl>
    <w:lvl w:ilvl="1">
      <w:start w:val="9"/>
      <w:numFmt w:val="decimal"/>
      <w:isLgl w:val="false"/>
      <w:suff w:val="tab"/>
      <w:lvlText w:val="%2."/>
      <w:lvlJc w:val="left"/>
      <w:pPr>
        <w:pStyle w:val="477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477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477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477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477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477"/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477"/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477"/>
        <w:ind w:left="1069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477"/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477"/>
        <w:ind w:left="320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477"/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477"/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477"/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477"/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477"/>
        <w:ind w:left="7472" w:hanging="180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477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477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477"/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477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477"/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7189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477"/>
        <w:ind w:left="555" w:hanging="555"/>
      </w:pPr>
    </w:lvl>
    <w:lvl w:ilvl="1">
      <w:start w:val="1"/>
      <w:numFmt w:val="decimal"/>
      <w:isLgl w:val="false"/>
      <w:suff w:val="tab"/>
      <w:lvlText w:val="%1.%2"/>
      <w:lvlJc w:val="left"/>
      <w:pPr>
        <w:pStyle w:val="477"/>
        <w:ind w:left="555" w:hanging="555"/>
      </w:pPr>
    </w:lvl>
    <w:lvl w:ilvl="2">
      <w:start w:val="2"/>
      <w:numFmt w:val="decimal"/>
      <w:isLgl w:val="false"/>
      <w:suff w:val="tab"/>
      <w:lvlText w:val="%1.%2.%3"/>
      <w:lvlJc w:val="left"/>
      <w:pPr>
        <w:pStyle w:val="477"/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477"/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477"/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477"/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477"/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477"/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477"/>
        <w:ind w:left="1800" w:hanging="180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477"/>
        <w:ind w:left="600" w:hanging="600"/>
      </w:pPr>
    </w:lvl>
    <w:lvl w:ilvl="1">
      <w:start w:val="1"/>
      <w:numFmt w:val="decimal"/>
      <w:isLgl w:val="false"/>
      <w:suff w:val="tab"/>
      <w:lvlText w:val="%1.%2"/>
      <w:lvlJc w:val="left"/>
      <w:pPr>
        <w:pStyle w:val="477"/>
        <w:ind w:left="954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477"/>
        <w:ind w:left="142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477"/>
        <w:ind w:left="214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477"/>
        <w:ind w:left="249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477"/>
        <w:ind w:left="32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477"/>
        <w:ind w:left="356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477"/>
        <w:ind w:left="427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477"/>
        <w:ind w:left="4992" w:hanging="2160"/>
      </w:pPr>
    </w:lvl>
  </w:abstractNum>
  <w:abstractNum w:abstractNumId="22">
    <w:multiLevelType w:val="hybridMultilevel"/>
    <w:lvl w:ilvl="0">
      <w:start w:val="78"/>
      <w:numFmt w:val="decimal"/>
      <w:isLgl w:val="false"/>
      <w:suff w:val="tab"/>
      <w:lvlText w:val="%1"/>
      <w:lvlJc w:val="left"/>
      <w:pPr>
        <w:pStyle w:val="477"/>
        <w:ind w:left="36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10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180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5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32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396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46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54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6121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477"/>
        <w:ind w:left="4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119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19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477"/>
        <w:ind w:left="26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477"/>
        <w:ind w:left="335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40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477"/>
        <w:ind w:left="47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477"/>
        <w:ind w:left="551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623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477"/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2."/>
      <w:lvlJc w:val="left"/>
      <w:pPr>
        <w:pStyle w:val="477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477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477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477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477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477"/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477"/>
        <w:ind w:left="214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477"/>
        <w:ind w:left="35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77"/>
        <w:ind w:left="536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77"/>
        <w:ind w:left="679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77"/>
        <w:ind w:left="85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77"/>
        <w:ind w:left="1036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77"/>
        <w:ind w:left="117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77"/>
        <w:ind w:left="13584" w:hanging="2160"/>
      </w:pPr>
    </w:lvl>
  </w:abstractNum>
  <w:abstractNum w:abstractNumId="2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477"/>
        <w:ind w:left="2340" w:hanging="360"/>
        <w:tabs>
          <w:tab w:val="num" w:pos="23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477"/>
        <w:ind w:left="3060" w:hanging="360"/>
        <w:tabs>
          <w:tab w:val="num" w:pos="30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477"/>
        <w:ind w:left="3780" w:hanging="360"/>
        <w:tabs>
          <w:tab w:val="num" w:pos="37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4500" w:hanging="360"/>
        <w:tabs>
          <w:tab w:val="num" w:pos="45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477"/>
        <w:ind w:left="5220" w:hanging="360"/>
        <w:tabs>
          <w:tab w:val="num" w:pos="52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477"/>
        <w:ind w:left="5940" w:hanging="360"/>
        <w:tabs>
          <w:tab w:val="num" w:pos="59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6660" w:hanging="360"/>
        <w:tabs>
          <w:tab w:val="num" w:pos="666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477"/>
        <w:ind w:left="7380" w:hanging="360"/>
        <w:tabs>
          <w:tab w:val="num" w:pos="738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477"/>
        <w:ind w:left="8100" w:hanging="360"/>
        <w:tabs>
          <w:tab w:val="num" w:pos="8100" w:leader="none"/>
        </w:tabs>
      </w:pPr>
    </w:lvl>
  </w:abstractNum>
  <w:abstractNum w:abstractNumId="27">
    <w:multiLevelType w:val="hybridMultilevel"/>
    <w:lvl w:ilvl="0">
      <w:start w:val="38"/>
      <w:numFmt w:val="decimal"/>
      <w:isLgl w:val="false"/>
      <w:suff w:val="tab"/>
      <w:lvlText w:val="%1"/>
      <w:lvlJc w:val="left"/>
      <w:pPr>
        <w:pStyle w:val="477"/>
        <w:ind w:left="36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10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180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5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32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396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46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54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6121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900" w:hanging="900"/>
      </w:pPr>
    </w:lvl>
    <w:lvl w:ilvl="1">
      <w:start w:val="1"/>
      <w:numFmt w:val="decimal"/>
      <w:isLgl w:val="false"/>
      <w:suff w:val="tab"/>
      <w:lvlText w:val="%1.%2."/>
      <w:lvlJc w:val="left"/>
      <w:pPr>
        <w:pStyle w:val="477"/>
        <w:ind w:left="1183" w:hanging="900"/>
      </w:pPr>
    </w:lvl>
    <w:lvl w:ilvl="2">
      <w:start w:val="2"/>
      <w:numFmt w:val="decimal"/>
      <w:isLgl w:val="false"/>
      <w:suff w:val="tab"/>
      <w:lvlText w:val="%1.%2.%3."/>
      <w:lvlJc w:val="left"/>
      <w:pPr>
        <w:pStyle w:val="477"/>
        <w:ind w:left="1466" w:hanging="90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77"/>
        <w:ind w:left="192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77"/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77"/>
        <w:ind w:left="285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77"/>
        <w:ind w:left="349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77"/>
        <w:ind w:left="378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77"/>
        <w:ind w:left="4424" w:hanging="216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14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21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28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35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42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50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7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64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71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900" w:hanging="900"/>
      </w:pPr>
    </w:lvl>
    <w:lvl w:ilvl="1">
      <w:start w:val="1"/>
      <w:numFmt w:val="decimal"/>
      <w:isLgl w:val="false"/>
      <w:suff w:val="tab"/>
      <w:lvlText w:val="%1.%2."/>
      <w:lvlJc w:val="left"/>
      <w:pPr>
        <w:pStyle w:val="477"/>
        <w:ind w:left="1430" w:hanging="900"/>
      </w:pPr>
    </w:lvl>
    <w:lvl w:ilvl="2">
      <w:start w:val="4"/>
      <w:numFmt w:val="decimal"/>
      <w:isLgl w:val="false"/>
      <w:suff w:val="tab"/>
      <w:lvlText w:val="%1.%2.%3."/>
      <w:lvlJc w:val="left"/>
      <w:pPr>
        <w:pStyle w:val="477"/>
        <w:ind w:left="1960" w:hanging="90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77"/>
        <w:ind w:left="267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77"/>
        <w:ind w:left="32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77"/>
        <w:ind w:left="40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77"/>
        <w:ind w:left="49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77"/>
        <w:ind w:left="551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77"/>
        <w:ind w:left="6400" w:hanging="2160"/>
      </w:pPr>
    </w:lvl>
  </w:abstractNum>
  <w:abstractNum w:abstractNumId="3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477"/>
        <w:ind w:left="720" w:hanging="360"/>
        <w:tabs>
          <w:tab w:val="num" w:pos="720" w:leader="none"/>
        </w:tabs>
      </w:pPr>
    </w:lvl>
    <w:lvl w:ilvl="1">
      <w:start w:val="9"/>
      <w:numFmt w:val="decimal"/>
      <w:isLgl w:val="false"/>
      <w:suff w:val="tab"/>
      <w:lvlText w:val="%2."/>
      <w:lvlJc w:val="left"/>
      <w:pPr>
        <w:pStyle w:val="477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477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477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477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477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477"/>
        <w:ind w:left="6480" w:hanging="36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477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477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477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477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477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32"/>
  </w:num>
  <w:num w:numId="3">
    <w:abstractNumId w:val="24"/>
  </w:num>
  <w:num w:numId="4">
    <w:abstractNumId w:val="4"/>
  </w:num>
  <w:num w:numId="5">
    <w:abstractNumId w:val="31"/>
  </w:num>
  <w:num w:numId="6">
    <w:abstractNumId w:val="17"/>
  </w:num>
  <w:num w:numId="7">
    <w:abstractNumId w:val="2"/>
  </w:num>
  <w:num w:numId="8">
    <w:abstractNumId w:val="26"/>
  </w:num>
  <w:num w:numId="9">
    <w:abstractNumId w:val="8"/>
  </w:num>
  <w:num w:numId="10">
    <w:abstractNumId w:val="1"/>
  </w:num>
  <w:num w:numId="11">
    <w:abstractNumId w:val="13"/>
  </w:num>
  <w:num w:numId="12">
    <w:abstractNumId w:val="23"/>
  </w:num>
  <w:num w:numId="13">
    <w:abstractNumId w:val="14"/>
  </w:num>
  <w:num w:numId="14">
    <w:abstractNumId w:val="29"/>
  </w:num>
  <w:num w:numId="15">
    <w:abstractNumId w:val="9"/>
  </w:num>
  <w:num w:numId="16">
    <w:abstractNumId w:val="19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18"/>
  </w:num>
  <w:num w:numId="22">
    <w:abstractNumId w:val="6"/>
  </w:num>
  <w:num w:numId="23">
    <w:abstractNumId w:val="3"/>
  </w:num>
  <w:num w:numId="24">
    <w:abstractNumId w:val="10"/>
  </w:num>
  <w:num w:numId="25">
    <w:abstractNumId w:val="20"/>
  </w:num>
  <w:num w:numId="26">
    <w:abstractNumId w:val="21"/>
  </w:num>
  <w:num w:numId="27">
    <w:abstractNumId w:val="25"/>
  </w:num>
  <w:num w:numId="28">
    <w:abstractNumId w:val="5"/>
  </w:num>
  <w:num w:numId="29">
    <w:abstractNumId w:val="27"/>
  </w:num>
  <w:num w:numId="30">
    <w:abstractNumId w:val="22"/>
  </w:num>
  <w:num w:numId="31">
    <w:abstractNumId w:val="12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77">
    <w:name w:val="Обычный,Обычный_1"/>
    <w:next w:val="477"/>
    <w:link w:val="477"/>
    <w:rPr>
      <w:sz w:val="24"/>
      <w:szCs w:val="24"/>
      <w:lang w:val="ru-RU" w:bidi="ar-SA" w:eastAsia="ar-SA"/>
    </w:rPr>
  </w:style>
  <w:style w:type="paragraph" w:styleId="478">
    <w:name w:val="Заголовок 1"/>
    <w:basedOn w:val="477"/>
    <w:next w:val="478"/>
    <w:link w:val="477"/>
    <w:rPr>
      <w:b/>
      <w:bCs/>
      <w:sz w:val="48"/>
      <w:szCs w:val="48"/>
      <w:lang w:eastAsia="ru-RU"/>
    </w:rPr>
    <w:pPr>
      <w:spacing w:after="100" w:afterAutospacing="1" w:before="100" w:beforeAutospacing="1"/>
      <w:outlineLvl w:val="0"/>
    </w:pPr>
  </w:style>
  <w:style w:type="paragraph" w:styleId="479">
    <w:name w:val="Заголовок 2"/>
    <w:basedOn w:val="477"/>
    <w:next w:val="477"/>
    <w:link w:val="477"/>
    <w:rPr>
      <w:rFonts w:ascii="Arial" w:hAnsi="Arial"/>
      <w:b/>
      <w:bCs/>
      <w:i/>
      <w:iCs/>
      <w:sz w:val="28"/>
      <w:szCs w:val="28"/>
    </w:rPr>
    <w:pPr>
      <w:keepNext/>
      <w:spacing w:after="60" w:before="240"/>
      <w:outlineLvl w:val="1"/>
    </w:pPr>
  </w:style>
  <w:style w:type="paragraph" w:styleId="480">
    <w:name w:val="Заголовок 3"/>
    <w:basedOn w:val="477"/>
    <w:next w:val="477"/>
    <w:link w:val="492"/>
    <w:rPr>
      <w:rFonts w:ascii="Cambria" w:hAnsi="Cambria"/>
      <w:b/>
      <w:bCs/>
      <w:sz w:val="26"/>
      <w:szCs w:val="26"/>
      <w:lang w:val="en-US"/>
    </w:rPr>
    <w:pPr>
      <w:keepNext/>
      <w:spacing w:after="60" w:before="240"/>
      <w:outlineLvl w:val="2"/>
    </w:pPr>
  </w:style>
  <w:style w:type="character" w:styleId="481">
    <w:name w:val="Основной шрифт абзаца"/>
    <w:next w:val="481"/>
    <w:link w:val="477"/>
    <w:semiHidden/>
  </w:style>
  <w:style w:type="table" w:styleId="482">
    <w:name w:val="Обычная таблица"/>
    <w:next w:val="482"/>
    <w:link w:val="477"/>
    <w:semiHidden/>
    <w:tblPr/>
  </w:style>
  <w:style w:type="numbering" w:styleId="483">
    <w:name w:val="Нет списка"/>
    <w:next w:val="483"/>
    <w:link w:val="477"/>
    <w:semiHidden/>
  </w:style>
  <w:style w:type="paragraph" w:styleId="484">
    <w:name w:val="Стандартный HTML"/>
    <w:basedOn w:val="477"/>
    <w:next w:val="484"/>
    <w:link w:val="477"/>
    <w:rPr>
      <w:rFonts w:ascii="Courier New" w:hAnsi="Courier New"/>
      <w:sz w:val="20"/>
      <w:szCs w:val="20"/>
      <w:lang w:eastAsia="ru-RU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485">
    <w:name w:val="Текст выноски"/>
    <w:basedOn w:val="477"/>
    <w:next w:val="485"/>
    <w:link w:val="477"/>
    <w:semiHidden/>
    <w:rPr>
      <w:rFonts w:ascii="Tahoma" w:hAnsi="Tahoma"/>
      <w:sz w:val="16"/>
      <w:szCs w:val="16"/>
    </w:rPr>
  </w:style>
  <w:style w:type="paragraph" w:styleId="486">
    <w:name w:val="rteindent1"/>
    <w:basedOn w:val="477"/>
    <w:next w:val="486"/>
    <w:link w:val="477"/>
    <w:rPr>
      <w:lang w:eastAsia="ru-RU"/>
    </w:rPr>
    <w:pPr>
      <w:spacing w:after="100" w:afterAutospacing="1" w:before="100" w:beforeAutospacing="1"/>
    </w:pPr>
  </w:style>
  <w:style w:type="character" w:styleId="487">
    <w:name w:val="Строгий"/>
    <w:next w:val="487"/>
    <w:link w:val="477"/>
    <w:rPr>
      <w:b/>
      <w:bCs/>
    </w:rPr>
  </w:style>
  <w:style w:type="character" w:styleId="488">
    <w:name w:val="Гиперссылка"/>
    <w:next w:val="488"/>
    <w:link w:val="477"/>
    <w:rPr>
      <w:color w:val="0000FF"/>
      <w:u w:val="single"/>
    </w:rPr>
  </w:style>
  <w:style w:type="paragraph" w:styleId="489">
    <w:name w:val="Обычный (веб)"/>
    <w:basedOn w:val="477"/>
    <w:next w:val="489"/>
    <w:link w:val="477"/>
    <w:rPr>
      <w:lang w:eastAsia="ru-RU"/>
    </w:rPr>
    <w:pPr>
      <w:spacing w:after="100" w:afterAutospacing="1" w:before="100" w:beforeAutospacing="1"/>
    </w:pPr>
  </w:style>
  <w:style w:type="paragraph" w:styleId="490">
    <w:name w:val="qowt-stl-обычный"/>
    <w:basedOn w:val="477"/>
    <w:next w:val="490"/>
    <w:link w:val="477"/>
    <w:rPr>
      <w:lang w:eastAsia="ru-RU"/>
    </w:rPr>
    <w:pPr>
      <w:spacing w:after="100" w:afterAutospacing="1" w:before="100" w:beforeAutospacing="1"/>
    </w:pPr>
  </w:style>
  <w:style w:type="paragraph" w:styleId="491">
    <w:name w:val="Char"/>
    <w:basedOn w:val="477"/>
    <w:next w:val="491"/>
    <w:link w:val="477"/>
    <w:rPr>
      <w:rFonts w:ascii="Arial" w:hAnsi="Arial"/>
      <w:sz w:val="20"/>
      <w:szCs w:val="20"/>
      <w:lang w:val="fr-FR" w:eastAsia="en-US"/>
    </w:rPr>
    <w:pPr>
      <w:spacing w:lineRule="exact" w:line="240" w:after="160"/>
    </w:pPr>
  </w:style>
  <w:style w:type="character" w:styleId="492">
    <w:name w:val="Заголовок 3 Знак"/>
    <w:next w:val="492"/>
    <w:link w:val="480"/>
    <w:semiHidden/>
    <w:rPr>
      <w:rFonts w:ascii="Cambria" w:hAnsi="Cambria" w:eastAsia="Times New Roman"/>
      <w:b/>
      <w:bCs/>
      <w:sz w:val="26"/>
      <w:szCs w:val="26"/>
      <w:lang w:eastAsia="ar-SA"/>
    </w:rPr>
  </w:style>
  <w:style w:type="paragraph" w:styleId="493">
    <w:name w:val="Верхний колонтитул"/>
    <w:basedOn w:val="477"/>
    <w:next w:val="493"/>
    <w:link w:val="494"/>
    <w:rPr>
      <w:lang w:val="en-US"/>
    </w:rPr>
    <w:pPr>
      <w:tabs>
        <w:tab w:val="center" w:pos="4677" w:leader="none"/>
        <w:tab w:val="right" w:pos="9355" w:leader="none"/>
      </w:tabs>
    </w:pPr>
  </w:style>
  <w:style w:type="character" w:styleId="494">
    <w:name w:val="Верхний колонтитул Знак"/>
    <w:next w:val="494"/>
    <w:link w:val="493"/>
    <w:rPr>
      <w:sz w:val="24"/>
      <w:szCs w:val="24"/>
      <w:lang w:eastAsia="ar-SA"/>
    </w:rPr>
  </w:style>
  <w:style w:type="paragraph" w:styleId="495">
    <w:name w:val="Нижний колонтитул"/>
    <w:basedOn w:val="477"/>
    <w:next w:val="495"/>
    <w:link w:val="496"/>
    <w:rPr>
      <w:lang w:val="en-US"/>
    </w:rPr>
    <w:pPr>
      <w:tabs>
        <w:tab w:val="center" w:pos="4677" w:leader="none"/>
        <w:tab w:val="right" w:pos="9355" w:leader="none"/>
      </w:tabs>
    </w:pPr>
  </w:style>
  <w:style w:type="character" w:styleId="496">
    <w:name w:val="Нижний колонтитул Знак"/>
    <w:next w:val="496"/>
    <w:link w:val="495"/>
    <w:rPr>
      <w:sz w:val="24"/>
      <w:szCs w:val="24"/>
      <w:lang w:eastAsia="ar-SA"/>
    </w:rPr>
  </w:style>
  <w:style w:type="table" w:styleId="497">
    <w:name w:val="Сетка таблицы"/>
    <w:basedOn w:val="482"/>
    <w:next w:val="497"/>
    <w:link w:val="477"/>
    <w:tblPr/>
  </w:style>
  <w:style w:type="paragraph" w:styleId="498">
    <w:name w:val="ConsPlusNormal"/>
    <w:next w:val="498"/>
    <w:link w:val="477"/>
    <w:rPr>
      <w:rFonts w:ascii="Calibri" w:hAnsi="Calibri"/>
      <w:sz w:val="22"/>
      <w:lang w:val="ru-RU" w:bidi="ar-SA" w:eastAsia="ru-RU"/>
    </w:rPr>
    <w:pPr>
      <w:widowControl w:val="off"/>
    </w:pPr>
  </w:style>
  <w:style w:type="paragraph" w:styleId="499">
    <w:name w:val="ConsPlusNonformat"/>
    <w:next w:val="499"/>
    <w:link w:val="477"/>
    <w:rPr>
      <w:rFonts w:ascii="Courier New" w:hAnsi="Courier New"/>
      <w:lang w:val="ru-RU" w:bidi="ar-SA" w:eastAsia="ru-RU"/>
    </w:rPr>
    <w:pPr>
      <w:widowControl w:val="off"/>
    </w:pPr>
  </w:style>
  <w:style w:type="paragraph" w:styleId="500">
    <w:name w:val="Текст сноски"/>
    <w:basedOn w:val="477"/>
    <w:next w:val="500"/>
    <w:link w:val="501"/>
    <w:rPr>
      <w:sz w:val="20"/>
      <w:szCs w:val="20"/>
    </w:rPr>
  </w:style>
  <w:style w:type="character" w:styleId="501">
    <w:name w:val="Текст сноски Знак"/>
    <w:next w:val="501"/>
    <w:link w:val="500"/>
    <w:rPr>
      <w:lang w:eastAsia="ar-SA"/>
    </w:rPr>
  </w:style>
  <w:style w:type="character" w:styleId="502">
    <w:name w:val="Знак сноски"/>
    <w:next w:val="502"/>
    <w:link w:val="477"/>
    <w:rPr>
      <w:vertAlign w:val="superscript"/>
    </w:rPr>
  </w:style>
  <w:style w:type="paragraph" w:styleId="503">
    <w:name w:val="Абзац списка"/>
    <w:basedOn w:val="477"/>
    <w:next w:val="503"/>
    <w:link w:val="477"/>
    <w:rPr>
      <w:lang w:eastAsia="ru-RU"/>
    </w:rPr>
    <w:pPr>
      <w:contextualSpacing w:val="true"/>
      <w:ind w:left="720"/>
    </w:pPr>
  </w:style>
  <w:style w:type="paragraph" w:styleId="504">
    <w:name w:val="Основной текст с отступом"/>
    <w:basedOn w:val="477"/>
    <w:next w:val="504"/>
    <w:link w:val="505"/>
    <w:rPr>
      <w:sz w:val="20"/>
      <w:szCs w:val="20"/>
      <w:lang w:val="en-US" w:eastAsia="en-US"/>
    </w:rPr>
    <w:pPr>
      <w:jc w:val="both"/>
    </w:pPr>
  </w:style>
  <w:style w:type="character" w:styleId="505">
    <w:name w:val="Основной текст с отступом Знак"/>
    <w:next w:val="505"/>
    <w:link w:val="504"/>
    <w:rPr>
      <w:sz w:val="24"/>
      <w:lang w:val="en-US" w:eastAsia="en-US"/>
    </w:rPr>
  </w:style>
  <w:style w:type="paragraph" w:styleId="506">
    <w:name w:val="Обычный;Обычный_1"/>
    <w:next w:val="506"/>
    <w:link w:val="477"/>
    <w:rPr>
      <w:sz w:val="24"/>
      <w:szCs w:val="24"/>
      <w:lang w:val="ru-RU" w:bidi="ar-SA" w:eastAsia="ar-SA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2552" w:default="1">
    <w:name w:val="Default Paragraph Font"/>
    <w:uiPriority w:val="1"/>
    <w:semiHidden/>
    <w:unhideWhenUsed/>
  </w:style>
  <w:style w:type="numbering" w:styleId="2553" w:default="1">
    <w:name w:val="No List"/>
    <w:uiPriority w:val="99"/>
    <w:semiHidden/>
    <w:unhideWhenUsed/>
  </w:style>
  <w:style w:type="paragraph" w:styleId="2554" w:default="1">
    <w:name w:val="Normal"/>
    <w:qFormat/>
  </w:style>
  <w:style w:type="table" w:styleId="25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2026-05-18T09:43:48Z</dcterms:modified>
</cp:coreProperties>
</file>