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rFonts w:ascii="Times New Roman" w:hAnsi="Times New Roman" w:cs="Times New Roman" w:eastAsia="Times New Roman"/>
          <w:b/>
          <w:i/>
          <w:sz w:val="28"/>
          <w:highlight w:val="none"/>
        </w:rPr>
      </w:pPr>
      <w:r>
        <w:rPr>
          <w:rFonts w:ascii="Times New Roman" w:hAnsi="Times New Roman" w:cs="Times New Roman" w:eastAsia="Times New Roman"/>
          <w:b/>
          <w:i/>
          <w:sz w:val="28"/>
        </w:rPr>
        <w:t xml:space="preserve">ПЕРЕЧЕНЬ</w:t>
      </w:r>
      <w:r>
        <w:rPr>
          <w:rFonts w:ascii="Times New Roman" w:hAnsi="Times New Roman" w:cs="Times New Roman" w:eastAsia="Times New Roman"/>
          <w:b/>
          <w:i/>
          <w:sz w:val="28"/>
        </w:rPr>
      </w:r>
    </w:p>
    <w:p>
      <w:pPr>
        <w:jc w:val="center"/>
        <w:rPr>
          <w:rFonts w:ascii="Times New Roman" w:hAnsi="Times New Roman" w:cs="Times New Roman" w:eastAsia="Times New Roman"/>
          <w:b/>
          <w:i/>
          <w:sz w:val="28"/>
        </w:rPr>
      </w:pPr>
      <w:r>
        <w:rPr>
          <w:rFonts w:ascii="Times New Roman" w:hAnsi="Times New Roman" w:cs="Times New Roman" w:eastAsia="Times New Roman"/>
          <w:b/>
          <w:i/>
          <w:sz w:val="28"/>
          <w:highlight w:val="none"/>
        </w:rPr>
        <w:t xml:space="preserve">ИНДИКАТОРОВ РИСКА НАРУШЕНИЯ ОБЯЗАТЕЛЬНЫХ ТРЕБОВАНИЙ</w:t>
      </w:r>
      <w:r>
        <w:rPr>
          <w:rFonts w:ascii="Times New Roman" w:hAnsi="Times New Roman" w:cs="Times New Roman" w:eastAsia="Times New Roman"/>
          <w:b/>
          <w:i/>
          <w:sz w:val="28"/>
          <w:highlight w:val="none"/>
        </w:rPr>
      </w:r>
    </w:p>
    <w:tbl>
      <w:tblPr>
        <w:tblStyle w:val="479"/>
        <w:tblW w:w="0" w:type="auto"/>
        <w:tblLayout w:type="fixed"/>
        <w:tblLook w:val="04A0" w:firstRow="1" w:lastRow="0" w:firstColumn="1" w:lastColumn="0" w:noHBand="0" w:noVBand="1"/>
      </w:tblPr>
      <w:tblGrid>
        <w:gridCol w:w="1134"/>
        <w:gridCol w:w="5811"/>
        <w:gridCol w:w="7625"/>
      </w:tblGrid>
      <w:tr>
        <w:trPr/>
        <w:tc>
          <w:tcPr>
            <w:tcW w:w="1134" w:type="dxa"/>
            <w:textDirection w:val="lrTb"/>
            <w:noWrap w:val="false"/>
          </w:tcPr>
          <w:p>
            <w:pPr>
              <w:jc w:val="center"/>
              <w:rPr>
                <w:rFonts w:ascii="Times New Roman" w:hAnsi="Times New Roman" w:cs="Times New Roman" w:eastAsia="Times New Roman"/>
                <w:sz w:val="28"/>
                <w:highlight w:val="none"/>
              </w:rPr>
            </w:pPr>
            <w:r>
              <w:rPr>
                <w:rFonts w:ascii="Times New Roman" w:hAnsi="Times New Roman" w:cs="Times New Roman" w:eastAsia="Times New Roman"/>
                <w:sz w:val="28"/>
                <w:highlight w:val="none"/>
              </w:rPr>
              <w:t xml:space="preserve">№ п/п</w:t>
            </w:r>
            <w:r>
              <w:rPr>
                <w:rFonts w:ascii="Times New Roman" w:hAnsi="Times New Roman" w:cs="Times New Roman" w:eastAsia="Times New Roman"/>
                <w:sz w:val="28"/>
                <w:highlight w:val="none"/>
              </w:rPr>
            </w:r>
            <w:r/>
          </w:p>
        </w:tc>
        <w:tc>
          <w:tcPr>
            <w:tcW w:w="5811" w:type="dxa"/>
            <w:textDirection w:val="lrTb"/>
            <w:noWrap w:val="false"/>
          </w:tcPr>
          <w:p>
            <w:pPr>
              <w:jc w:val="center"/>
              <w:rPr>
                <w:rFonts w:ascii="Times New Roman" w:hAnsi="Times New Roman" w:cs="Times New Roman" w:eastAsia="Times New Roman"/>
                <w:sz w:val="28"/>
                <w:highlight w:val="none"/>
              </w:rPr>
            </w:pPr>
            <w:r>
              <w:rPr>
                <w:rFonts w:ascii="Times New Roman" w:hAnsi="Times New Roman" w:cs="Times New Roman" w:eastAsia="Times New Roman"/>
                <w:sz w:val="28"/>
                <w:highlight w:val="none"/>
              </w:rPr>
              <w:t xml:space="preserve">Виды регионального государственного контроля </w:t>
            </w:r>
            <w:r>
              <w:rPr>
                <w:rFonts w:ascii="Times New Roman" w:hAnsi="Times New Roman" w:cs="Times New Roman" w:eastAsia="Times New Roman"/>
                <w:sz w:val="28"/>
                <w:highlight w:val="none"/>
              </w:rPr>
            </w:r>
            <w:r/>
          </w:p>
        </w:tc>
        <w:tc>
          <w:tcPr>
            <w:tcW w:w="7625" w:type="dxa"/>
            <w:textDirection w:val="lrTb"/>
            <w:noWrap w:val="false"/>
          </w:tcPr>
          <w:p>
            <w:pPr>
              <w:jc w:val="center"/>
              <w:rPr>
                <w:rFonts w:ascii="Times New Roman" w:hAnsi="Times New Roman" w:cs="Times New Roman" w:eastAsia="Times New Roman"/>
                <w:sz w:val="28"/>
                <w:highlight w:val="none"/>
              </w:rPr>
            </w:pPr>
            <w:r>
              <w:rPr>
                <w:rFonts w:ascii="Times New Roman" w:hAnsi="Times New Roman" w:cs="Times New Roman" w:eastAsia="Times New Roman"/>
                <w:sz w:val="28"/>
                <w:highlight w:val="none"/>
              </w:rPr>
              <w:t xml:space="preserve">Индикатор риска</w:t>
            </w:r>
            <w:r>
              <w:rPr>
                <w:rFonts w:ascii="Times New Roman" w:hAnsi="Times New Roman" w:cs="Times New Roman" w:eastAsia="Times New Roman"/>
                <w:sz w:val="28"/>
                <w:highlight w:val="none"/>
              </w:rPr>
            </w:r>
            <w:r/>
          </w:p>
        </w:tc>
      </w:tr>
      <w:tr>
        <w:trPr/>
        <w:tc>
          <w:tcPr>
            <w:tcW w:w="1134" w:type="dxa"/>
            <w:textDirection w:val="lrTb"/>
            <w:noWrap w:val="false"/>
          </w:tcPr>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t xml:space="preserve">1</w:t>
            </w:r>
            <w:r>
              <w:rPr>
                <w:rFonts w:ascii="Times New Roman" w:hAnsi="Times New Roman" w:cs="Times New Roman" w:eastAsia="Times New Roman"/>
                <w:sz w:val="24"/>
                <w:highlight w:val="none"/>
              </w:rPr>
            </w:r>
            <w:r/>
          </w:p>
        </w:tc>
        <w:tc>
          <w:tcPr>
            <w:tcW w:w="5811" w:type="dxa"/>
            <w:textDirection w:val="lrTb"/>
            <w:noWrap w:val="false"/>
          </w:tcPr>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t xml:space="preserve">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w:t>
            </w:r>
            <w:r>
              <w:rPr>
                <w:rFonts w:ascii="Times New Roman" w:hAnsi="Times New Roman" w:cs="Times New Roman" w:eastAsia="Times New Roman"/>
                <w:sz w:val="24"/>
                <w:highlight w:val="none"/>
              </w:rPr>
            </w:r>
            <w:r/>
          </w:p>
        </w:tc>
        <w:tc>
          <w:tcPr>
            <w:tcW w:w="7625" w:type="dxa"/>
            <w:textDirection w:val="lrTb"/>
            <w:noWrap w:val="false"/>
          </w:tcPr>
          <w:p>
            <w:pPr>
              <w:contextualSpacing w:val="false"/>
              <w:jc w:val="both"/>
              <w:rPr>
                <w:rFonts w:ascii="Times New Roman" w:hAnsi="Times New Roman" w:cs="Times New Roman" w:eastAsia="Times New Roman"/>
                <w:sz w:val="24"/>
                <w:highlight w:val="none"/>
              </w:rPr>
              <w:suppressLineNumbers w:val="0"/>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t xml:space="preserve">В</w:t>
            </w:r>
            <w:r>
              <w:rPr>
                <w:rFonts w:ascii="Times New Roman" w:hAnsi="Times New Roman" w:cs="Times New Roman" w:eastAsia="Times New Roman"/>
                <w:sz w:val="24"/>
                <w:highlight w:val="none"/>
              </w:rPr>
              <w:t xml:space="preserve">ыявление Министерством при осуществлении наблюдения за соблюдением обязательных требований трех и более фактов отсутствия в течение двух месяцев подряд на официальном сайте оператора технического осмотра в информационно-телекоммуникационной сети «Интернет»</w:t>
            </w:r>
            <w:r>
              <w:rPr>
                <w:rFonts w:ascii="Times New Roman" w:hAnsi="Times New Roman" w:cs="Times New Roman" w:eastAsia="Times New Roman"/>
                <w:sz w:val="24"/>
                <w:highlight w:val="none"/>
              </w:rPr>
              <w:t xml:space="preserve">,</w:t>
            </w:r>
            <w:r>
              <w:rPr>
                <w:rFonts w:ascii="Times New Roman" w:hAnsi="Times New Roman" w:cs="Times New Roman" w:eastAsia="Times New Roman"/>
                <w:sz w:val="24"/>
                <w:highlight w:val="none"/>
              </w:rPr>
              <w:t xml:space="preserve"> ссылка на который размещена на сайте Российского союза автостраховщиков (РСА) в разделе "Сведения из реестра операторов технического осмотра", информации об установленных оператором технического осмотра размерах платы за проведение технического осмотра тр</w:t>
            </w:r>
            <w:r>
              <w:rPr>
                <w:rFonts w:ascii="Times New Roman" w:hAnsi="Times New Roman" w:cs="Times New Roman" w:eastAsia="Times New Roman"/>
                <w:sz w:val="24"/>
                <w:highlight w:val="none"/>
              </w:rPr>
              <w:t xml:space="preserve">анспортных средств, повторное проведение технического осмотра транспортных средств, выдачу дубликата диагностической карты.</w:t>
            </w:r>
            <w:r>
              <w:rPr>
                <w:rFonts w:ascii="Times New Roman" w:hAnsi="Times New Roman" w:cs="Times New Roman" w:eastAsia="Times New Roman"/>
                <w:sz w:val="24"/>
                <w:highlight w:val="none"/>
              </w:rPr>
            </w:r>
            <w:r/>
          </w:p>
        </w:tc>
      </w:tr>
      <w:tr>
        <w:trPr>
          <w:trHeight w:val="2134"/>
        </w:trPr>
        <w:tc>
          <w:tcPr>
            <w:tcW w:w="1134" w:type="dxa"/>
            <w:vMerge w:val="restart"/>
            <w:textDirection w:val="lrTb"/>
            <w:noWrap w:val="false"/>
          </w:tcPr>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t xml:space="preserve">2</w:t>
            </w:r>
            <w:r>
              <w:rPr>
                <w:rFonts w:ascii="Times New Roman" w:hAnsi="Times New Roman" w:cs="Times New Roman" w:eastAsia="Times New Roman"/>
                <w:sz w:val="24"/>
                <w:highlight w:val="none"/>
              </w:rPr>
            </w:r>
            <w:r/>
          </w:p>
        </w:tc>
        <w:tc>
          <w:tcPr>
            <w:tcW w:w="5811" w:type="dxa"/>
            <w:vMerge w:val="restart"/>
            <w:textDirection w:val="lrTb"/>
            <w:noWrap w:val="false"/>
          </w:tcPr>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t xml:space="preserve">Региональный государственный контроль (надзор) за регулируемыми государством ценами (тарифами) в электроэнергетике</w:t>
            </w:r>
            <w:r>
              <w:rPr>
                <w:rFonts w:ascii="Times New Roman" w:hAnsi="Times New Roman" w:cs="Times New Roman" w:eastAsia="Times New Roman"/>
                <w:sz w:val="24"/>
                <w:highlight w:val="none"/>
              </w:rPr>
            </w:r>
            <w:r/>
          </w:p>
        </w:tc>
        <w:tc>
          <w:tcPr>
            <w:tcW w:w="7625" w:type="dxa"/>
            <w:vMerge w:val="restart"/>
            <w:textDirection w:val="lrTb"/>
            <w:noWrap w:val="false"/>
          </w:tcPr>
          <w:p>
            <w:pPr>
              <w:contextualSpacing w:val="false"/>
              <w:jc w:val="both"/>
              <w:rPr>
                <w:sz w:val="24"/>
              </w:rPr>
              <w:suppressLineNumbers w:val="0"/>
            </w:pPr>
            <w:r>
              <w:rPr>
                <w:rFonts w:ascii="Times New Roman" w:hAnsi="Times New Roman" w:cs="Times New Roman" w:eastAsia="Times New Roman"/>
                <w:sz w:val="24"/>
                <w:lang w:val="ru-RU"/>
              </w:rPr>
              <w:t xml:space="preserve">П</w:t>
            </w:r>
            <w:r>
              <w:rPr>
                <w:rFonts w:ascii="Times New Roman" w:hAnsi="Times New Roman" w:cs="Times New Roman" w:eastAsia="Times New Roman"/>
                <w:sz w:val="24"/>
                <w:lang w:val="ru-RU"/>
              </w:rPr>
              <w:t xml:space="preserve">ревышение цены (тарифа), предлагаемой(-ого) контролируемым лицом в заявлении об установлении цены (тарифов), на очередной период регулирования, над ценой (тарифом), установленной(-ым) Министерством на предшествующий период регулирования, более чем в двукра</w:t>
            </w:r>
            <w:r>
              <w:rPr>
                <w:rFonts w:ascii="Times New Roman" w:hAnsi="Times New Roman" w:cs="Times New Roman" w:eastAsia="Times New Roman"/>
                <w:sz w:val="24"/>
                <w:lang w:val="ru-RU"/>
              </w:rPr>
              <w:t xml:space="preserve">т</w:t>
            </w:r>
            <w:r>
              <w:rPr>
                <w:rFonts w:ascii="Times New Roman" w:hAnsi="Times New Roman" w:cs="Times New Roman" w:eastAsia="Times New Roman"/>
                <w:sz w:val="24"/>
                <w:lang w:val="ru-RU"/>
              </w:rPr>
              <w:t xml:space="preserve">ном размере прогнозируемого изменения цен (тарифов) на товары (услуги) контролируемых лиц, осуществляющих регулируемые виды деятельности, определенного в прогнозе социально-экономического развития Российской Федерации на очередной финансовый год и плановый</w:t>
            </w:r>
            <w:r>
              <w:rPr>
                <w:rFonts w:ascii="Times New Roman" w:hAnsi="Times New Roman" w:cs="Times New Roman" w:eastAsia="Times New Roman"/>
                <w:sz w:val="24"/>
                <w:lang w:val="ru-RU"/>
              </w:rPr>
              <w:t xml:space="preserve"> период (за исключением случая, если повышение обусловлено реализацией инвестиционной программы, изменением законодательства, изменением у регулируемой организации количества активов более чем на 10 процентов), рассчитанное по формуле:</w:t>
            </w:r>
            <w:r>
              <w:rPr>
                <w:sz w:val="24"/>
              </w:rPr>
            </w:r>
            <w:r/>
          </w:p>
          <w:p>
            <w:pPr>
              <w:jc w:val="both"/>
              <w:rPr>
                <w:sz w:val="24"/>
              </w:rPr>
            </w:pPr>
            <w:r>
              <w:rPr>
                <w:rFonts w:ascii="Times New Roman" w:hAnsi="Times New Roman" w:cs="Times New Roman" w:eastAsia="Times New Roman"/>
                <w:sz w:val="24"/>
                <w:lang w:val="ru-RU"/>
              </w:rPr>
            </w:r>
            <w:r>
              <w:rPr>
                <w:sz w:val="24"/>
              </w:rPr>
            </w:r>
            <w:r/>
          </w:p>
          <w:p>
            <w:pPr>
              <w:jc w:val="both"/>
              <w:rPr>
                <w:sz w:val="24"/>
              </w:rPr>
            </w:pPr>
            <w:r>
              <w:rPr>
                <w:rFonts w:ascii="Times New Roman" w:hAnsi="Times New Roman" w:cs="Times New Roman" w:eastAsia="Times New Roman"/>
                <w:sz w:val="24"/>
                <w:lang w:val="ru-RU"/>
              </w:rPr>
              <w:t xml:space="preserve">Ц1 &gt; Ц2 x 2 x Исэр,</w:t>
            </w:r>
            <w:r>
              <w:rPr>
                <w:sz w:val="24"/>
              </w:rPr>
            </w:r>
            <w:r/>
          </w:p>
          <w:p>
            <w:pPr>
              <w:jc w:val="both"/>
              <w:rPr>
                <w:sz w:val="24"/>
              </w:rPr>
            </w:pPr>
            <w:r>
              <w:rPr>
                <w:rFonts w:ascii="Times New Roman" w:hAnsi="Times New Roman" w:cs="Times New Roman" w:eastAsia="Times New Roman"/>
                <w:sz w:val="24"/>
                <w:lang w:val="ru-RU"/>
              </w:rPr>
            </w:r>
            <w:r>
              <w:rPr>
                <w:sz w:val="24"/>
              </w:rPr>
            </w:r>
            <w:r/>
          </w:p>
          <w:p>
            <w:pPr>
              <w:jc w:val="both"/>
              <w:rPr>
                <w:sz w:val="24"/>
              </w:rPr>
            </w:pPr>
            <w:r>
              <w:rPr>
                <w:rFonts w:ascii="Times New Roman" w:hAnsi="Times New Roman" w:cs="Times New Roman" w:eastAsia="Times New Roman"/>
                <w:sz w:val="24"/>
                <w:lang w:val="ru-RU"/>
              </w:rPr>
              <w:t xml:space="preserve">где:</w:t>
            </w:r>
            <w:r>
              <w:rPr>
                <w:sz w:val="24"/>
              </w:rPr>
            </w:r>
            <w:r/>
          </w:p>
          <w:p>
            <w:pPr>
              <w:jc w:val="both"/>
              <w:rPr>
                <w:sz w:val="24"/>
              </w:rPr>
            </w:pPr>
            <w:r>
              <w:rPr>
                <w:rFonts w:ascii="Times New Roman" w:hAnsi="Times New Roman" w:cs="Times New Roman" w:eastAsia="Times New Roman"/>
                <w:sz w:val="24"/>
                <w:lang w:val="ru-RU"/>
              </w:rPr>
              <w:t xml:space="preserve">Ц1 - цена, предлагаемая организацией на очередной период регулирования;</w:t>
            </w:r>
            <w:r>
              <w:rPr>
                <w:sz w:val="24"/>
              </w:rPr>
            </w:r>
            <w:r/>
          </w:p>
          <w:p>
            <w:pPr>
              <w:jc w:val="both"/>
              <w:rPr>
                <w:sz w:val="24"/>
              </w:rPr>
            </w:pPr>
            <w:r>
              <w:rPr>
                <w:rFonts w:ascii="Times New Roman" w:hAnsi="Times New Roman" w:cs="Times New Roman" w:eastAsia="Times New Roman"/>
                <w:sz w:val="24"/>
                <w:lang w:val="ru-RU"/>
              </w:rPr>
              <w:t xml:space="preserve">Ц2 - цена, установленная Министерством на предшествующий период регулирования;</w:t>
            </w:r>
            <w:r>
              <w:rPr>
                <w:sz w:val="24"/>
              </w:rPr>
            </w:r>
            <w:r/>
          </w:p>
          <w:p>
            <w:pPr>
              <w:jc w:val="both"/>
              <w:rPr>
                <w:sz w:val="24"/>
              </w:rPr>
            </w:pPr>
            <w:r>
              <w:rPr>
                <w:rFonts w:ascii="Times New Roman" w:hAnsi="Times New Roman" w:cs="Times New Roman" w:eastAsia="Times New Roman"/>
                <w:sz w:val="24"/>
                <w:lang w:val="ru-RU"/>
              </w:rPr>
              <w:t xml:space="preserve">Исэр - индекс изменения цен согласно прогнозу социально-экономического развития Российской Федерации на очередной финансовый год и плановый период.</w:t>
            </w:r>
            <w:r>
              <w:rPr>
                <w:sz w:val="24"/>
              </w:rPr>
            </w:r>
            <w:r/>
          </w:p>
        </w:tc>
      </w:tr>
      <w:tr>
        <w:trPr/>
        <w:tc>
          <w:tcPr>
            <w:tcW w:w="1134" w:type="dxa"/>
            <w:vMerge w:val="restart"/>
            <w:textDirection w:val="lrTb"/>
            <w:noWrap w:val="false"/>
          </w:tcPr>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t xml:space="preserve">3</w:t>
            </w:r>
            <w:r>
              <w:rPr>
                <w:rFonts w:ascii="Times New Roman" w:hAnsi="Times New Roman" w:cs="Times New Roman" w:eastAsia="Times New Roman"/>
                <w:sz w:val="24"/>
                <w:highlight w:val="none"/>
              </w:rPr>
            </w:r>
            <w:r/>
          </w:p>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r>
            <w:r/>
          </w:p>
        </w:tc>
        <w:tc>
          <w:tcPr>
            <w:tcW w:w="5811" w:type="dxa"/>
            <w:vMerge w:val="restart"/>
            <w:textDirection w:val="lrTb"/>
            <w:noWrap w:val="false"/>
          </w:tcPr>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t xml:space="preserve">Региональный государственный контроль (надзор) в области регулирования цен (тарифов) в сфере теплоснабжения</w:t>
            </w:r>
            <w:r>
              <w:rPr>
                <w:rFonts w:ascii="Times New Roman" w:hAnsi="Times New Roman" w:cs="Times New Roman" w:eastAsia="Times New Roman"/>
                <w:sz w:val="24"/>
                <w:highlight w:val="none"/>
              </w:rPr>
            </w:r>
            <w:r/>
          </w:p>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r>
            <w:r/>
          </w:p>
        </w:tc>
        <w:tc>
          <w:tcPr>
            <w:tcW w:w="7625" w:type="dxa"/>
            <w:vMerge w:val="restart"/>
            <w:textDirection w:val="lrTb"/>
            <w:noWrap w:val="false"/>
          </w:tcPr>
          <w:p>
            <w:pPr>
              <w:jc w:val="both"/>
              <w:rPr>
                <w:rFonts w:ascii="Times New Roman" w:hAnsi="Times New Roman" w:cs="Times New Roman" w:eastAsia="Times New Roman"/>
                <w:sz w:val="24"/>
                <w:highlight w:val="none"/>
                <w:vertAlign w:val="baseline"/>
              </w:rPr>
            </w:pPr>
            <w:r>
              <w:rPr>
                <w:rFonts w:ascii="Times New Roman" w:hAnsi="Times New Roman" w:cs="Times New Roman" w:eastAsia="Times New Roman"/>
                <w:sz w:val="24"/>
                <w:highlight w:val="none"/>
                <w:vertAlign w:val="baseline"/>
              </w:rPr>
              <w:t xml:space="preserve"> </w:t>
            </w:r>
            <w:r>
              <w:rPr>
                <w:rFonts w:ascii="Times New Roman" w:hAnsi="Times New Roman" w:cs="Times New Roman" w:eastAsia="Times New Roman"/>
                <w:sz w:val="24"/>
                <w:highlight w:val="none"/>
                <w:vertAlign w:val="baseline"/>
              </w:rPr>
              <w:t xml:space="preserve">Ф</w:t>
            </w:r>
            <w:r>
              <w:rPr>
                <w:rFonts w:ascii="Times New Roman" w:hAnsi="Times New Roman" w:cs="Times New Roman" w:eastAsia="Times New Roman"/>
                <w:sz w:val="24"/>
                <w:highlight w:val="none"/>
                <w:vertAlign w:val="baseline"/>
              </w:rPr>
              <w:t xml:space="preserve">акт увеличения более чем на 25 процентов выручки контролируемого лица от реализации товаров (работ, услуг) по регулируемым ценам (тарифам) по итогам отчетного финансового года в разрезе соответствующего вида деятельности по сравнению с годом, предшествующи</w:t>
            </w:r>
            <w:r>
              <w:rPr>
                <w:rFonts w:ascii="Times New Roman" w:hAnsi="Times New Roman" w:cs="Times New Roman" w:eastAsia="Times New Roman"/>
                <w:sz w:val="24"/>
                <w:highlight w:val="none"/>
                <w:vertAlign w:val="baseline"/>
              </w:rPr>
              <w:t xml:space="preserve">м</w:t>
            </w:r>
            <w:r>
              <w:rPr>
                <w:rFonts w:ascii="Times New Roman" w:hAnsi="Times New Roman" w:cs="Times New Roman" w:eastAsia="Times New Roman"/>
                <w:sz w:val="24"/>
                <w:highlight w:val="none"/>
                <w:vertAlign w:val="baseline"/>
              </w:rPr>
              <w:t xml:space="preserve"> отчетному финансовому году, при отсутствии факта увеличения более чем на 10 процентов объема оказанных услуг по регулируемому виду деятельности (за исключением случаев, если такой рост обусловлен изменением утвержденных регулируемых цен (тарифов)), рассчи</w:t>
            </w:r>
            <w:r>
              <w:rPr>
                <w:rFonts w:ascii="Times New Roman" w:hAnsi="Times New Roman" w:cs="Times New Roman" w:eastAsia="Times New Roman"/>
                <w:sz w:val="24"/>
                <w:highlight w:val="none"/>
                <w:vertAlign w:val="baseline"/>
              </w:rPr>
              <w:t xml:space="preserve">танный по формулам:</w:t>
            </w:r>
            <w:r/>
          </w:p>
          <w:p>
            <w:pPr>
              <w:jc w:val="both"/>
            </w:pPr>
            <w:r>
              <w:rPr>
                <w:rFonts w:ascii="Times New Roman" w:hAnsi="Times New Roman" w:cs="Times New Roman" w:eastAsia="Times New Roman"/>
                <w:sz w:val="24"/>
                <w:highlight w:val="none"/>
                <w:vertAlign w:val="baseline"/>
              </w:rPr>
            </w:r>
            <w:r/>
          </w:p>
          <w:p>
            <w:pPr>
              <w:jc w:val="both"/>
            </w:pPr>
            <w:r>
              <w:rPr>
                <w:rFonts w:ascii="Times New Roman" w:hAnsi="Times New Roman" w:cs="Times New Roman" w:eastAsia="Times New Roman"/>
                <w:sz w:val="24"/>
                <w:highlight w:val="none"/>
                <w:vertAlign w:val="baseline"/>
              </w:rPr>
              <w:t xml:space="preserve">(ВПг1 / ВПг2 - 1) x 100% &gt; 25%,</w:t>
            </w:r>
            <w:r/>
          </w:p>
          <w:p>
            <w:pPr>
              <w:jc w:val="both"/>
            </w:pPr>
            <w:r>
              <w:rPr>
                <w:rFonts w:ascii="Times New Roman" w:hAnsi="Times New Roman" w:cs="Times New Roman" w:eastAsia="Times New Roman"/>
                <w:sz w:val="24"/>
                <w:highlight w:val="none"/>
                <w:vertAlign w:val="baseline"/>
              </w:rPr>
            </w:r>
            <w:r/>
          </w:p>
          <w:p>
            <w:pPr>
              <w:jc w:val="both"/>
            </w:pPr>
            <w:r>
              <w:rPr>
                <w:rFonts w:ascii="Times New Roman" w:hAnsi="Times New Roman" w:cs="Times New Roman" w:eastAsia="Times New Roman"/>
                <w:sz w:val="24"/>
                <w:highlight w:val="none"/>
                <w:vertAlign w:val="baseline"/>
              </w:rPr>
              <w:t xml:space="preserve">(Vуслуг пг1 / Vуслуг пг2) x 100% &lt; 10%,</w:t>
            </w:r>
            <w:r/>
          </w:p>
          <w:p>
            <w:pPr>
              <w:jc w:val="both"/>
            </w:pPr>
            <w:r>
              <w:rPr>
                <w:rFonts w:ascii="Times New Roman" w:hAnsi="Times New Roman" w:cs="Times New Roman" w:eastAsia="Times New Roman"/>
                <w:sz w:val="24"/>
                <w:highlight w:val="none"/>
                <w:vertAlign w:val="baseline"/>
              </w:rPr>
            </w:r>
            <w:r/>
          </w:p>
          <w:p>
            <w:pPr>
              <w:jc w:val="both"/>
            </w:pPr>
            <w:r>
              <w:rPr>
                <w:rFonts w:ascii="Times New Roman" w:hAnsi="Times New Roman" w:cs="Times New Roman" w:eastAsia="Times New Roman"/>
                <w:sz w:val="24"/>
                <w:highlight w:val="none"/>
                <w:vertAlign w:val="baseline"/>
              </w:rPr>
              <w:t xml:space="preserve">где:</w:t>
            </w:r>
            <w:r/>
          </w:p>
          <w:p>
            <w:pPr>
              <w:jc w:val="both"/>
            </w:pPr>
            <w:r>
              <w:rPr>
                <w:rFonts w:ascii="Times New Roman" w:hAnsi="Times New Roman" w:cs="Times New Roman" w:eastAsia="Times New Roman"/>
                <w:sz w:val="24"/>
                <w:highlight w:val="none"/>
                <w:vertAlign w:val="baseline"/>
              </w:rPr>
              <w:t xml:space="preserve">ВПг1 - выручка отчетного финансового года;</w:t>
            </w:r>
            <w:r/>
          </w:p>
          <w:p>
            <w:pPr>
              <w:jc w:val="both"/>
            </w:pPr>
            <w:r>
              <w:rPr>
                <w:rFonts w:ascii="Times New Roman" w:hAnsi="Times New Roman" w:cs="Times New Roman" w:eastAsia="Times New Roman"/>
                <w:sz w:val="24"/>
                <w:highlight w:val="none"/>
                <w:vertAlign w:val="baseline"/>
              </w:rPr>
              <w:t xml:space="preserve">ВПг2 - выручка года, предшествующего отчетному финансовому году;</w:t>
            </w:r>
            <w:r/>
          </w:p>
          <w:p>
            <w:pPr>
              <w:jc w:val="both"/>
            </w:pPr>
            <w:r>
              <w:rPr>
                <w:rFonts w:ascii="Times New Roman" w:hAnsi="Times New Roman" w:cs="Times New Roman" w:eastAsia="Times New Roman"/>
                <w:sz w:val="24"/>
                <w:highlight w:val="none"/>
                <w:vertAlign w:val="baseline"/>
              </w:rPr>
              <w:t xml:space="preserve">Vуслуг пг1 - объем услуг отчетного финансового года;</w:t>
            </w:r>
            <w:r/>
          </w:p>
          <w:p>
            <w:pPr>
              <w:jc w:val="both"/>
            </w:pPr>
            <w:r>
              <w:rPr>
                <w:rFonts w:ascii="Times New Roman" w:hAnsi="Times New Roman" w:cs="Times New Roman" w:eastAsia="Times New Roman"/>
                <w:sz w:val="24"/>
                <w:highlight w:val="none"/>
                <w:vertAlign w:val="baseline"/>
              </w:rPr>
              <w:t xml:space="preserve">Vуслуг пг2 - объем услуг года, предшествующего отчетному финансовому году.</w:t>
            </w:r>
            <w:r/>
          </w:p>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p>
        </w:tc>
      </w:tr>
      <w:tr>
        <w:trPr/>
        <w:tc>
          <w:tcPr>
            <w:tcW w:w="1134" w:type="dxa"/>
            <w:vMerge w:val="continue"/>
            <w:textDirection w:val="lrTb"/>
            <w:noWrap w:val="false"/>
          </w:tcPr>
          <w:p>
            <w:r/>
            <w:r/>
          </w:p>
        </w:tc>
        <w:tc>
          <w:tcPr>
            <w:tcW w:w="5811" w:type="dxa"/>
            <w:vMerge w:val="continue"/>
            <w:textDirection w:val="lrTb"/>
            <w:noWrap w:val="false"/>
          </w:tcPr>
          <w:p>
            <w:r/>
            <w:r/>
          </w:p>
        </w:tc>
        <w:tc>
          <w:tcPr>
            <w:tcW w:w="7625" w:type="dxa"/>
            <w:vMerge w:val="restart"/>
            <w:textDirection w:val="lrTb"/>
            <w:noWrap w:val="false"/>
          </w:tcPr>
          <w:p>
            <w:pPr>
              <w:jc w:val="both"/>
              <w:rPr>
                <w:rFonts w:ascii="Times New Roman" w:hAnsi="Times New Roman" w:cs="Times New Roman" w:eastAsia="Times New Roman"/>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t xml:space="preserve">О</w:t>
            </w:r>
            <w:r>
              <w:rPr>
                <w:rFonts w:ascii="Times New Roman" w:hAnsi="Times New Roman" w:cs="Times New Roman" w:eastAsia="Times New Roman"/>
                <w:sz w:val="24"/>
                <w:highlight w:val="none"/>
              </w:rPr>
              <w:t xml:space="preserve">тсутствие регистрации контролируемого лица в федеральной государственной информационной системе "Единая информационно-аналитическая система тарифного регулирования" (ФГИС "ТАРИФ") (http://ri.eias.ru/) по истечении тридцати дней со дня подачи в Министерство</w:t>
            </w:r>
            <w:r>
              <w:rPr>
                <w:rFonts w:ascii="Times New Roman" w:hAnsi="Times New Roman" w:cs="Times New Roman" w:eastAsia="Times New Roman"/>
                <w:sz w:val="24"/>
                <w:highlight w:val="none"/>
              </w:rPr>
              <w:t xml:space="preserve"> </w:t>
            </w:r>
            <w:r>
              <w:rPr>
                <w:rFonts w:ascii="Times New Roman" w:hAnsi="Times New Roman" w:cs="Times New Roman" w:eastAsia="Times New Roman"/>
                <w:sz w:val="24"/>
                <w:highlight w:val="none"/>
              </w:rPr>
              <w:t xml:space="preserve">по тарифному регулированию и государственным закупкам Пензенской области (далее - Министерство) заявления об установлении цен (тарифов) в сфере теплоснабжения (для организаций, впервые обратившихся с предложением об установлении регулируемых государством (</w:t>
            </w:r>
            <w:r>
              <w:rPr>
                <w:rFonts w:ascii="Times New Roman" w:hAnsi="Times New Roman" w:cs="Times New Roman" w:eastAsia="Times New Roman"/>
                <w:sz w:val="24"/>
                <w:highlight w:val="none"/>
              </w:rPr>
              <w:t xml:space="preserve">цен) тарифов).</w:t>
            </w:r>
            <w:r>
              <w:rPr>
                <w:rFonts w:ascii="Times New Roman" w:hAnsi="Times New Roman" w:cs="Times New Roman" w:eastAsia="Times New Roman"/>
                <w:sz w:val="24"/>
                <w:highlight w:val="none"/>
              </w:rPr>
            </w:r>
            <w:r/>
          </w:p>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r>
            <w:r/>
          </w:p>
        </w:tc>
      </w:tr>
      <w:tr>
        <w:trPr/>
        <w:tc>
          <w:tcPr>
            <w:tcW w:w="1134" w:type="dxa"/>
            <w:vMerge w:val="restart"/>
            <w:textDirection w:val="lrTb"/>
            <w:noWrap w:val="false"/>
          </w:tcPr>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t xml:space="preserve">4</w:t>
            </w:r>
            <w:r>
              <w:rPr>
                <w:rFonts w:ascii="Times New Roman" w:hAnsi="Times New Roman" w:cs="Times New Roman" w:eastAsia="Times New Roman"/>
                <w:sz w:val="24"/>
                <w:highlight w:val="none"/>
              </w:rPr>
            </w:r>
            <w:r/>
          </w:p>
        </w:tc>
        <w:tc>
          <w:tcPr>
            <w:tcW w:w="5811" w:type="dxa"/>
            <w:vMerge w:val="restart"/>
            <w:textDirection w:val="lrTb"/>
            <w:noWrap w:val="false"/>
          </w:tcPr>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t xml:space="preserve">Региональный государственный контроль (надзор) за установлением и (или) применением регулируемых государством цен (тарифов) в области газоснабжения</w:t>
            </w:r>
            <w:r>
              <w:rPr>
                <w:rFonts w:ascii="Times New Roman" w:hAnsi="Times New Roman" w:cs="Times New Roman" w:eastAsia="Times New Roman"/>
                <w:sz w:val="24"/>
                <w:highlight w:val="none"/>
              </w:rPr>
            </w:r>
            <w:r/>
          </w:p>
        </w:tc>
        <w:tc>
          <w:tcPr>
            <w:tcW w:w="7625" w:type="dxa"/>
            <w:vMerge w:val="restart"/>
            <w:textDirection w:val="lrTb"/>
            <w:noWrap w:val="false"/>
          </w:tcPr>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t xml:space="preserve">О</w:t>
            </w:r>
            <w:r>
              <w:rPr>
                <w:rFonts w:ascii="Times New Roman" w:hAnsi="Times New Roman" w:cs="Times New Roman" w:eastAsia="Times New Roman"/>
                <w:sz w:val="24"/>
                <w:highlight w:val="none"/>
              </w:rPr>
              <w:t xml:space="preserve">тклонение в объеме освоения средств контролируемым лицом более чем на 20% от запланированных в программе газификации Пензенской области, финансирование которой осуществляется за счет средств специальных надбавок к тарифам на транспортировку газа газораспре</w:t>
            </w:r>
            <w:r>
              <w:rPr>
                <w:rFonts w:ascii="Times New Roman" w:hAnsi="Times New Roman" w:cs="Times New Roman" w:eastAsia="Times New Roman"/>
                <w:sz w:val="24"/>
                <w:highlight w:val="none"/>
              </w:rPr>
              <w:t xml:space="preserve">делительными организациями, по итогам отчетного года (на основании представленных газораспределительными организациями документов).</w:t>
            </w:r>
            <w:r>
              <w:rPr>
                <w:rFonts w:ascii="Times New Roman" w:hAnsi="Times New Roman" w:cs="Times New Roman" w:eastAsia="Times New Roman"/>
                <w:sz w:val="24"/>
                <w:highlight w:val="none"/>
              </w:rPr>
            </w:r>
            <w:r/>
          </w:p>
        </w:tc>
      </w:tr>
      <w:tr>
        <w:trPr>
          <w:trHeight w:val="2409"/>
        </w:trPr>
        <w:tc>
          <w:tcPr>
            <w:tcW w:w="1134" w:type="dxa"/>
            <w:vMerge w:val="restart"/>
            <w:textDirection w:val="lrTb"/>
            <w:noWrap w:val="false"/>
          </w:tcPr>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t xml:space="preserve">5</w:t>
            </w:r>
            <w:r>
              <w:rPr>
                <w:rFonts w:ascii="Times New Roman" w:hAnsi="Times New Roman" w:cs="Times New Roman" w:eastAsia="Times New Roman"/>
                <w:sz w:val="24"/>
                <w:highlight w:val="none"/>
              </w:rPr>
            </w:r>
            <w:r/>
          </w:p>
        </w:tc>
        <w:tc>
          <w:tcPr>
            <w:tcW w:w="5811" w:type="dxa"/>
            <w:vMerge w:val="restart"/>
            <w:textDirection w:val="lrTb"/>
            <w:noWrap w:val="false"/>
          </w:tcPr>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t xml:space="preserve">Региональный государственный контроль (надзор) в сферах естественных монополий</w:t>
            </w:r>
            <w:r>
              <w:rPr>
                <w:rFonts w:ascii="Times New Roman" w:hAnsi="Times New Roman" w:cs="Times New Roman" w:eastAsia="Times New Roman"/>
                <w:sz w:val="24"/>
                <w:highlight w:val="none"/>
              </w:rPr>
            </w:r>
            <w:r/>
          </w:p>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r>
            <w:r/>
          </w:p>
        </w:tc>
        <w:tc>
          <w:tcPr>
            <w:tcW w:w="7625" w:type="dxa"/>
            <w:vMerge w:val="restart"/>
            <w:textDirection w:val="lrTb"/>
            <w:noWrap w:val="false"/>
          </w:tcPr>
          <w:p>
            <w:pPr>
              <w:jc w:val="both"/>
              <w:rPr>
                <w:sz w:val="24"/>
              </w:rPr>
            </w:pPr>
            <w:r>
              <w:rPr>
                <w:rFonts w:ascii="Times New Roman" w:hAnsi="Times New Roman" w:cs="Times New Roman" w:eastAsia="Times New Roman"/>
                <w:sz w:val="24"/>
                <w:highlight w:val="none"/>
              </w:rPr>
              <w:t xml:space="preserve">Ф</w:t>
            </w:r>
            <w:r>
              <w:rPr>
                <w:rFonts w:ascii="Times New Roman" w:hAnsi="Times New Roman" w:cs="Times New Roman" w:eastAsia="Times New Roman"/>
                <w:sz w:val="24"/>
                <w:highlight w:val="none"/>
              </w:rPr>
              <w:t xml:space="preserve">акт увеличения более чем на 25 процентов выручки контролируемого лица от реализации товаров (работ, услуг) по регулируемым ценам (тарифам) по итогам отчетного финансового года в разрезе соответствующего вида деятельности по сравнению с годом, предшествующи</w:t>
            </w:r>
            <w:r>
              <w:rPr>
                <w:rFonts w:ascii="Times New Roman" w:hAnsi="Times New Roman" w:cs="Times New Roman" w:eastAsia="Times New Roman"/>
                <w:sz w:val="24"/>
                <w:highlight w:val="none"/>
              </w:rPr>
              <w:t xml:space="preserve">м</w:t>
            </w:r>
            <w:r>
              <w:rPr>
                <w:rFonts w:ascii="Times New Roman" w:hAnsi="Times New Roman" w:cs="Times New Roman" w:eastAsia="Times New Roman"/>
                <w:sz w:val="24"/>
                <w:highlight w:val="none"/>
              </w:rPr>
              <w:t xml:space="preserve"> отчетному финансовому году, при отсутствии факта увеличения более чем на 10 процентов объема оказанных услуг по регулируемому виду деятельности (за исключением случаев, если такой рост обусловлен изменением утвержденных регулируемых цен (тарифов)), рассчи</w:t>
            </w:r>
            <w:r>
              <w:rPr>
                <w:rFonts w:ascii="Times New Roman" w:hAnsi="Times New Roman" w:cs="Times New Roman" w:eastAsia="Times New Roman"/>
                <w:sz w:val="24"/>
                <w:highlight w:val="none"/>
              </w:rPr>
              <w:t xml:space="preserve">танный по формулам:</w:t>
            </w:r>
            <w:r>
              <w:rPr>
                <w:sz w:val="24"/>
              </w:rPr>
            </w:r>
            <w:r/>
          </w:p>
          <w:p>
            <w:pPr>
              <w:jc w:val="both"/>
              <w:rPr>
                <w:sz w:val="24"/>
              </w:rPr>
            </w:pPr>
            <w:r>
              <w:rPr>
                <w:rFonts w:ascii="Times New Roman" w:hAnsi="Times New Roman" w:cs="Times New Roman" w:eastAsia="Times New Roman"/>
                <w:sz w:val="24"/>
                <w:highlight w:val="none"/>
              </w:rPr>
            </w:r>
            <w:r>
              <w:rPr>
                <w:sz w:val="24"/>
              </w:rPr>
            </w:r>
            <w:r/>
          </w:p>
          <w:p>
            <w:pPr>
              <w:jc w:val="both"/>
              <w:rPr>
                <w:sz w:val="24"/>
              </w:rPr>
            </w:pPr>
            <w:r>
              <w:rPr>
                <w:rFonts w:ascii="Times New Roman" w:hAnsi="Times New Roman" w:cs="Times New Roman" w:eastAsia="Times New Roman"/>
                <w:sz w:val="24"/>
                <w:highlight w:val="none"/>
              </w:rPr>
              <w:t xml:space="preserve">(ВПг1 / ВПг2 - 1) x 100% &gt; 25%,</w:t>
            </w:r>
            <w:r>
              <w:rPr>
                <w:sz w:val="24"/>
              </w:rPr>
            </w:r>
            <w:r/>
          </w:p>
          <w:p>
            <w:pPr>
              <w:jc w:val="both"/>
              <w:rPr>
                <w:sz w:val="24"/>
              </w:rPr>
            </w:pPr>
            <w:r>
              <w:rPr>
                <w:rFonts w:ascii="Times New Roman" w:hAnsi="Times New Roman" w:cs="Times New Roman" w:eastAsia="Times New Roman"/>
                <w:sz w:val="24"/>
                <w:highlight w:val="none"/>
              </w:rPr>
            </w:r>
            <w:r>
              <w:rPr>
                <w:sz w:val="24"/>
              </w:rPr>
            </w:r>
            <w:r/>
          </w:p>
          <w:p>
            <w:pPr>
              <w:jc w:val="both"/>
              <w:rPr>
                <w:sz w:val="24"/>
              </w:rPr>
            </w:pPr>
            <w:r>
              <w:rPr>
                <w:rFonts w:ascii="Times New Roman" w:hAnsi="Times New Roman" w:cs="Times New Roman" w:eastAsia="Times New Roman"/>
                <w:sz w:val="24"/>
                <w:highlight w:val="none"/>
              </w:rPr>
              <w:t xml:space="preserve">(Vуслуг пг1 / Vуслуг пг2) x 100% &lt; 10%,</w:t>
            </w:r>
            <w:r>
              <w:rPr>
                <w:sz w:val="24"/>
              </w:rPr>
            </w:r>
            <w:r/>
          </w:p>
          <w:p>
            <w:pPr>
              <w:jc w:val="both"/>
              <w:rPr>
                <w:sz w:val="24"/>
              </w:rPr>
            </w:pPr>
            <w:r>
              <w:rPr>
                <w:rFonts w:ascii="Times New Roman" w:hAnsi="Times New Roman" w:cs="Times New Roman" w:eastAsia="Times New Roman"/>
                <w:sz w:val="24"/>
                <w:highlight w:val="none"/>
              </w:rPr>
            </w:r>
            <w:r>
              <w:rPr>
                <w:sz w:val="24"/>
              </w:rPr>
            </w:r>
            <w:r/>
          </w:p>
          <w:p>
            <w:pPr>
              <w:jc w:val="both"/>
              <w:rPr>
                <w:sz w:val="24"/>
              </w:rPr>
            </w:pPr>
            <w:r>
              <w:rPr>
                <w:rFonts w:ascii="Times New Roman" w:hAnsi="Times New Roman" w:cs="Times New Roman" w:eastAsia="Times New Roman"/>
                <w:sz w:val="24"/>
                <w:highlight w:val="none"/>
              </w:rPr>
              <w:t xml:space="preserve">где:</w:t>
            </w:r>
            <w:r>
              <w:rPr>
                <w:sz w:val="24"/>
              </w:rPr>
            </w:r>
            <w:r/>
          </w:p>
          <w:p>
            <w:pPr>
              <w:jc w:val="both"/>
              <w:rPr>
                <w:sz w:val="24"/>
              </w:rPr>
            </w:pPr>
            <w:r>
              <w:rPr>
                <w:rFonts w:ascii="Times New Roman" w:hAnsi="Times New Roman" w:cs="Times New Roman" w:eastAsia="Times New Roman"/>
                <w:sz w:val="24"/>
                <w:highlight w:val="none"/>
              </w:rPr>
              <w:t xml:space="preserve">ВПг1 - выручка отчетного финансового года;</w:t>
            </w:r>
            <w:r>
              <w:rPr>
                <w:sz w:val="24"/>
              </w:rPr>
            </w:r>
            <w:r/>
          </w:p>
          <w:p>
            <w:pPr>
              <w:jc w:val="both"/>
              <w:rPr>
                <w:sz w:val="24"/>
              </w:rPr>
            </w:pPr>
            <w:r>
              <w:rPr>
                <w:rFonts w:ascii="Times New Roman" w:hAnsi="Times New Roman" w:cs="Times New Roman" w:eastAsia="Times New Roman"/>
                <w:sz w:val="24"/>
                <w:highlight w:val="none"/>
              </w:rPr>
              <w:t xml:space="preserve">ВПг2 - выручка года, предшествующего отчетному финансовому году;</w:t>
            </w:r>
            <w:r>
              <w:rPr>
                <w:sz w:val="24"/>
              </w:rPr>
            </w:r>
            <w:r/>
          </w:p>
          <w:p>
            <w:pPr>
              <w:jc w:val="both"/>
              <w:rPr>
                <w:sz w:val="24"/>
              </w:rPr>
            </w:pPr>
            <w:r>
              <w:rPr>
                <w:rFonts w:ascii="Times New Roman" w:hAnsi="Times New Roman" w:cs="Times New Roman" w:eastAsia="Times New Roman"/>
                <w:sz w:val="24"/>
                <w:highlight w:val="none"/>
              </w:rPr>
              <w:t xml:space="preserve">Vуслуг пг1 - объем услуг отчетного финансового года;</w:t>
            </w:r>
            <w:r>
              <w:rPr>
                <w:sz w:val="24"/>
              </w:rPr>
            </w:r>
            <w:r/>
          </w:p>
          <w:p>
            <w:pPr>
              <w:jc w:val="both"/>
              <w:rPr>
                <w:sz w:val="24"/>
              </w:rPr>
            </w:pPr>
            <w:r>
              <w:rPr>
                <w:rFonts w:ascii="Times New Roman" w:hAnsi="Times New Roman" w:cs="Times New Roman" w:eastAsia="Times New Roman"/>
                <w:sz w:val="24"/>
                <w:highlight w:val="none"/>
              </w:rPr>
              <w:t xml:space="preserve">Vуслуг пг2 - объем услуг года, предшествующего отчетному финансовому году.</w:t>
            </w:r>
            <w:r>
              <w:rPr>
                <w:sz w:val="24"/>
              </w:rPr>
            </w:r>
            <w:r/>
          </w:p>
          <w:p>
            <w:pPr>
              <w:jc w:val="both"/>
              <w:rPr>
                <w:rFonts w:ascii="Times New Roman" w:hAnsi="Times New Roman" w:cs="Times New Roman" w:eastAsia="Times New Roman"/>
                <w:highlight w:val="none"/>
              </w:rPr>
            </w:pPr>
            <w:r>
              <w:rPr>
                <w:rFonts w:ascii="Times New Roman" w:hAnsi="Times New Roman" w:cs="Times New Roman" w:eastAsia="Times New Roman"/>
                <w:highlight w:val="none"/>
              </w:rPr>
            </w:r>
            <w:r/>
          </w:p>
          <w:p>
            <w:pPr>
              <w:jc w:val="both"/>
              <w:rPr>
                <w:rFonts w:ascii="Times New Roman" w:hAnsi="Times New Roman" w:cs="Times New Roman" w:eastAsia="Times New Roman"/>
                <w:highlight w:val="none"/>
                <w:lang w:val="ru-RU"/>
              </w:rPr>
            </w:pPr>
            <w:r>
              <w:rPr>
                <w:rFonts w:ascii="Times New Roman" w:hAnsi="Times New Roman" w:cs="Times New Roman" w:eastAsia="Times New Roman"/>
                <w:sz w:val="24"/>
                <w:highlight w:val="none"/>
              </w:rPr>
            </w:r>
            <w:r>
              <w:rPr>
                <w:rFonts w:ascii="Times New Roman" w:hAnsi="Times New Roman" w:cs="Times New Roman" w:eastAsia="Times New Roman"/>
                <w:color w:val="000000"/>
                <w:sz w:val="24"/>
                <w:highlight w:val="white"/>
              </w:rPr>
            </w:r>
            <w:r/>
          </w:p>
          <w:p>
            <w:pPr>
              <w:jc w:val="both"/>
              <w:rPr>
                <w:rFonts w:ascii="Times New Roman" w:hAnsi="Times New Roman" w:cs="Times New Roman" w:eastAsia="Times New Roman"/>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r>
            <w:r/>
          </w:p>
        </w:tc>
      </w:tr>
      <w:tr>
        <w:trPr/>
        <w:tc>
          <w:tcPr>
            <w:tcW w:w="1134" w:type="dxa"/>
            <w:vMerge w:val="restart"/>
            <w:textDirection w:val="lrTb"/>
            <w:noWrap w:val="false"/>
          </w:tcPr>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t xml:space="preserve">6</w:t>
            </w:r>
            <w:r>
              <w:rPr>
                <w:rFonts w:ascii="Times New Roman" w:hAnsi="Times New Roman" w:cs="Times New Roman" w:eastAsia="Times New Roman"/>
                <w:sz w:val="24"/>
                <w:highlight w:val="none"/>
              </w:rPr>
            </w:r>
            <w:r/>
          </w:p>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r>
            <w:r/>
          </w:p>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r>
            <w:r/>
          </w:p>
        </w:tc>
        <w:tc>
          <w:tcPr>
            <w:tcW w:w="5811" w:type="dxa"/>
            <w:vMerge w:val="restart"/>
            <w:textDirection w:val="lrTb"/>
            <w:noWrap w:val="false"/>
          </w:tcPr>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t xml:space="preserve">Региональный государственный контроль (надзор) в области регулирования тарифов в сфере водоснабжения и водоотведения</w:t>
            </w:r>
            <w:r>
              <w:rPr>
                <w:rFonts w:ascii="Times New Roman" w:hAnsi="Times New Roman" w:cs="Times New Roman" w:eastAsia="Times New Roman"/>
                <w:sz w:val="24"/>
                <w:highlight w:val="none"/>
              </w:rPr>
            </w:r>
            <w:r/>
          </w:p>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r>
            <w:r/>
          </w:p>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r>
            <w:r/>
          </w:p>
        </w:tc>
        <w:tc>
          <w:tcPr>
            <w:tcW w:w="7625" w:type="dxa"/>
            <w:vMerge w:val="restart"/>
            <w:textDirection w:val="lrTb"/>
            <w:noWrap w:val="false"/>
          </w:tcPr>
          <w:p>
            <w:pPr>
              <w:jc w:val="both"/>
            </w:pPr>
            <w:r>
              <w:rPr>
                <w:rFonts w:ascii="Times New Roman" w:hAnsi="Times New Roman" w:cs="Times New Roman" w:eastAsia="Times New Roman"/>
                <w:sz w:val="24"/>
                <w:highlight w:val="none"/>
                <w:vertAlign w:val="baseline"/>
                <w:lang w:val="ru-RU"/>
              </w:rPr>
              <w:t xml:space="preserve">О</w:t>
            </w:r>
            <w:r>
              <w:rPr>
                <w:rFonts w:ascii="Times New Roman" w:hAnsi="Times New Roman" w:cs="Times New Roman" w:eastAsia="Times New Roman"/>
                <w:sz w:val="24"/>
                <w:highlight w:val="none"/>
                <w:vertAlign w:val="baseline"/>
                <w:lang w:val="ru-RU"/>
              </w:rPr>
              <w:t xml:space="preserve">тклонение средневзвешенной расчетной цены, применяемой контролируемым лицом, за предшествующий период регулирования, определенной на основании фактической выручки и объема реализации коммунального ресурса потребителями, опубликованных в федеральной государ</w:t>
            </w:r>
            <w:r>
              <w:rPr>
                <w:rFonts w:ascii="Times New Roman" w:hAnsi="Times New Roman" w:cs="Times New Roman" w:eastAsia="Times New Roman"/>
                <w:sz w:val="24"/>
                <w:highlight w:val="none"/>
                <w:vertAlign w:val="baseline"/>
                <w:lang w:val="ru-RU"/>
              </w:rPr>
              <w:t xml:space="preserve">с</w:t>
            </w:r>
            <w:r>
              <w:rPr>
                <w:rFonts w:ascii="Times New Roman" w:hAnsi="Times New Roman" w:cs="Times New Roman" w:eastAsia="Times New Roman"/>
                <w:sz w:val="24"/>
                <w:highlight w:val="none"/>
                <w:vertAlign w:val="baseline"/>
                <w:lang w:val="ru-RU"/>
              </w:rPr>
              <w:t xml:space="preserve">твенной информационной системе "Единая информационно-аналитическая система тарифного регулирования" (ФГИС "ТАРИФ"), от средневзвешенного тарифа, установленного для контролируемого лица Министерством на тот же период, на 15 процентов и более, рассчитанное п</w:t>
            </w:r>
            <w:r>
              <w:rPr>
                <w:rFonts w:ascii="Times New Roman" w:hAnsi="Times New Roman" w:cs="Times New Roman" w:eastAsia="Times New Roman"/>
                <w:sz w:val="24"/>
                <w:highlight w:val="none"/>
                <w:vertAlign w:val="baseline"/>
                <w:lang w:val="ru-RU"/>
              </w:rPr>
              <w:t xml:space="preserve">о формулам:</w:t>
            </w:r>
            <w:r/>
          </w:p>
          <w:p>
            <w:pPr>
              <w:jc w:val="both"/>
            </w:pPr>
            <w:r>
              <w:rPr>
                <w:rFonts w:ascii="Times New Roman" w:hAnsi="Times New Roman" w:cs="Times New Roman" w:eastAsia="Times New Roman"/>
                <w:sz w:val="24"/>
                <w:highlight w:val="none"/>
                <w:vertAlign w:val="baseline"/>
                <w:lang w:val="ru-RU"/>
              </w:rPr>
            </w:r>
            <w:r/>
          </w:p>
          <w:p>
            <w:pPr>
              <w:jc w:val="both"/>
            </w:pPr>
            <w:r>
              <w:rPr>
                <w:rFonts w:ascii="Times New Roman" w:hAnsi="Times New Roman" w:cs="Times New Roman" w:eastAsia="Times New Roman"/>
                <w:sz w:val="24"/>
                <w:highlight w:val="none"/>
                <w:vertAlign w:val="baseline"/>
                <w:lang w:val="ru-RU"/>
              </w:rPr>
              <w:t xml:space="preserve">(СЦф / СЦп - 1) x 100% &gt; = &lt; 15%,</w:t>
            </w:r>
            <w:r/>
          </w:p>
          <w:p>
            <w:pPr>
              <w:jc w:val="both"/>
            </w:pPr>
            <w:r>
              <w:rPr>
                <w:rFonts w:ascii="Times New Roman" w:hAnsi="Times New Roman" w:cs="Times New Roman" w:eastAsia="Times New Roman"/>
                <w:sz w:val="24"/>
                <w:highlight w:val="none"/>
                <w:vertAlign w:val="baseline"/>
                <w:lang w:val="ru-RU"/>
              </w:rPr>
            </w:r>
            <w:r/>
          </w:p>
          <w:p>
            <w:pPr>
              <w:jc w:val="both"/>
            </w:pPr>
            <w:r>
              <w:rPr>
                <w:rFonts w:ascii="Times New Roman" w:hAnsi="Times New Roman" w:cs="Times New Roman" w:eastAsia="Times New Roman"/>
                <w:sz w:val="24"/>
                <w:highlight w:val="none"/>
                <w:vertAlign w:val="baseline"/>
                <w:lang w:val="ru-RU"/>
              </w:rPr>
              <w:t xml:space="preserve">СЦф = ССф / ПОф,</w:t>
            </w:r>
            <w:r/>
          </w:p>
          <w:p>
            <w:pPr>
              <w:jc w:val="both"/>
            </w:pPr>
            <w:r>
              <w:rPr>
                <w:rFonts w:ascii="Times New Roman" w:hAnsi="Times New Roman" w:cs="Times New Roman" w:eastAsia="Times New Roman"/>
                <w:sz w:val="24"/>
                <w:highlight w:val="none"/>
                <w:vertAlign w:val="baseline"/>
                <w:lang w:val="ru-RU"/>
              </w:rPr>
            </w:r>
            <w:r/>
          </w:p>
          <w:p>
            <w:pPr>
              <w:jc w:val="both"/>
            </w:pPr>
            <w:r>
              <w:rPr>
                <w:rFonts w:ascii="Times New Roman" w:hAnsi="Times New Roman" w:cs="Times New Roman" w:eastAsia="Times New Roman"/>
                <w:sz w:val="24"/>
                <w:highlight w:val="none"/>
                <w:vertAlign w:val="baseline"/>
                <w:lang w:val="ru-RU"/>
              </w:rPr>
              <w:t xml:space="preserve">СЦп = (VI полугодие х Т1 + VII полугодие х Т2) / Vгод,</w:t>
            </w:r>
            <w:r/>
          </w:p>
          <w:p>
            <w:pPr>
              <w:jc w:val="both"/>
            </w:pPr>
            <w:r>
              <w:rPr>
                <w:rFonts w:ascii="Times New Roman" w:hAnsi="Times New Roman" w:cs="Times New Roman" w:eastAsia="Times New Roman"/>
                <w:sz w:val="24"/>
                <w:highlight w:val="none"/>
                <w:vertAlign w:val="baseline"/>
                <w:lang w:val="ru-RU"/>
              </w:rPr>
            </w:r>
            <w:r/>
          </w:p>
          <w:p>
            <w:pPr>
              <w:jc w:val="both"/>
            </w:pPr>
            <w:r>
              <w:rPr>
                <w:rFonts w:ascii="Times New Roman" w:hAnsi="Times New Roman" w:cs="Times New Roman" w:eastAsia="Times New Roman"/>
                <w:sz w:val="24"/>
                <w:highlight w:val="none"/>
                <w:vertAlign w:val="baseline"/>
                <w:lang w:val="ru-RU"/>
              </w:rPr>
              <w:t xml:space="preserve">где:</w:t>
            </w:r>
            <w:r/>
          </w:p>
          <w:p>
            <w:pPr>
              <w:jc w:val="both"/>
            </w:pPr>
            <w:r>
              <w:rPr>
                <w:rFonts w:ascii="Times New Roman" w:hAnsi="Times New Roman" w:cs="Times New Roman" w:eastAsia="Times New Roman"/>
                <w:sz w:val="24"/>
                <w:highlight w:val="none"/>
                <w:vertAlign w:val="baseline"/>
                <w:lang w:val="ru-RU"/>
              </w:rPr>
              <w:t xml:space="preserve">СЦф - средневзвешенная расчетная цена за предшествующий период регулирования;</w:t>
            </w:r>
            <w:r/>
          </w:p>
          <w:p>
            <w:pPr>
              <w:jc w:val="both"/>
            </w:pPr>
            <w:r>
              <w:rPr>
                <w:rFonts w:ascii="Times New Roman" w:hAnsi="Times New Roman" w:cs="Times New Roman" w:eastAsia="Times New Roman"/>
                <w:sz w:val="24"/>
                <w:highlight w:val="none"/>
                <w:vertAlign w:val="baseline"/>
                <w:lang w:val="ru-RU"/>
              </w:rPr>
              <w:t xml:space="preserve">СЦп - средневзвешенный тариф, установленный Министерством на предшествующий период;</w:t>
            </w:r>
            <w:r/>
          </w:p>
          <w:p>
            <w:pPr>
              <w:jc w:val="both"/>
            </w:pPr>
            <w:r>
              <w:rPr>
                <w:rFonts w:ascii="Times New Roman" w:hAnsi="Times New Roman" w:cs="Times New Roman" w:eastAsia="Times New Roman"/>
                <w:sz w:val="24"/>
                <w:highlight w:val="none"/>
                <w:vertAlign w:val="baseline"/>
                <w:lang w:val="ru-RU"/>
              </w:rPr>
              <w:t xml:space="preserve">ССф - фактическая выручка;</w:t>
            </w:r>
            <w:r/>
          </w:p>
          <w:p>
            <w:pPr>
              <w:jc w:val="both"/>
            </w:pPr>
            <w:r>
              <w:rPr>
                <w:rFonts w:ascii="Times New Roman" w:hAnsi="Times New Roman" w:cs="Times New Roman" w:eastAsia="Times New Roman"/>
                <w:sz w:val="24"/>
                <w:highlight w:val="none"/>
                <w:vertAlign w:val="baseline"/>
                <w:lang w:val="ru-RU"/>
              </w:rPr>
              <w:t xml:space="preserve">ПОф - фактический объем реализации коммунального ресурса потребителям;</w:t>
            </w:r>
            <w:r/>
          </w:p>
          <w:p>
            <w:pPr>
              <w:jc w:val="both"/>
            </w:pPr>
            <w:r>
              <w:rPr>
                <w:rFonts w:ascii="Times New Roman" w:hAnsi="Times New Roman" w:cs="Times New Roman" w:eastAsia="Times New Roman"/>
                <w:sz w:val="24"/>
                <w:highlight w:val="none"/>
                <w:vertAlign w:val="baseline"/>
                <w:lang w:val="ru-RU"/>
              </w:rPr>
              <w:t xml:space="preserve">VI полугодие - плановый объем на первое полугодие предшествующего периода;</w:t>
            </w:r>
            <w:r/>
          </w:p>
          <w:p>
            <w:pPr>
              <w:jc w:val="both"/>
            </w:pPr>
            <w:r>
              <w:rPr>
                <w:rFonts w:ascii="Times New Roman" w:hAnsi="Times New Roman" w:cs="Times New Roman" w:eastAsia="Times New Roman"/>
                <w:sz w:val="24"/>
                <w:highlight w:val="none"/>
                <w:vertAlign w:val="baseline"/>
                <w:lang w:val="ru-RU"/>
              </w:rPr>
              <w:t xml:space="preserve">VII полугодие - плановый объем на второе полугодие предшествующего периода;</w:t>
            </w:r>
            <w:r/>
          </w:p>
          <w:p>
            <w:pPr>
              <w:jc w:val="both"/>
            </w:pPr>
            <w:r>
              <w:rPr>
                <w:rFonts w:ascii="Times New Roman" w:hAnsi="Times New Roman" w:cs="Times New Roman" w:eastAsia="Times New Roman"/>
                <w:sz w:val="24"/>
                <w:highlight w:val="none"/>
                <w:vertAlign w:val="baseline"/>
                <w:lang w:val="ru-RU"/>
              </w:rPr>
              <w:t xml:space="preserve">Т1 - тариф, установленный Министерством на первое полугодие предшествующего периода;</w:t>
            </w:r>
            <w:r/>
          </w:p>
          <w:p>
            <w:pPr>
              <w:jc w:val="both"/>
            </w:pPr>
            <w:r>
              <w:rPr>
                <w:rFonts w:ascii="Times New Roman" w:hAnsi="Times New Roman" w:cs="Times New Roman" w:eastAsia="Times New Roman"/>
                <w:sz w:val="24"/>
                <w:highlight w:val="none"/>
                <w:vertAlign w:val="baseline"/>
                <w:lang w:val="ru-RU"/>
              </w:rPr>
              <w:t xml:space="preserve">Т2 - тариф, установленный Министерством на второе полугодие предшествующего периода.</w:t>
            </w:r>
            <w:r>
              <w:rPr>
                <w:rFonts w:ascii="Times New Roman" w:hAnsi="Times New Roman" w:cs="Times New Roman" w:eastAsia="Times New Roman"/>
                <w:sz w:val="24"/>
                <w:highlight w:val="none"/>
                <w:vertAlign w:val="baseline"/>
                <w:lang w:val="ru-RU"/>
              </w:rPr>
            </w:r>
            <w:r/>
          </w:p>
          <w:p>
            <w:pPr>
              <w:jc w:val="both"/>
              <w:rPr>
                <w:rFonts w:ascii="Times New Roman" w:hAnsi="Times New Roman" w:cs="Times New Roman" w:eastAsia="Times New Roman"/>
                <w:highlight w:val="none"/>
                <w:vertAlign w:val="baseline"/>
                <w:lang w:val="ru-RU"/>
              </w:rPr>
            </w:pPr>
            <w:r>
              <w:rPr>
                <w:rFonts w:ascii="Times New Roman" w:hAnsi="Times New Roman" w:cs="Times New Roman" w:eastAsia="Times New Roman"/>
                <w:sz w:val="24"/>
                <w:highlight w:val="none"/>
                <w:vertAlign w:val="baseline"/>
                <w:lang w:val="ru-RU"/>
              </w:rPr>
            </w:r>
            <w:r>
              <w:rPr>
                <w:rFonts w:ascii="Times New Roman" w:hAnsi="Times New Roman" w:cs="Times New Roman" w:eastAsia="Times New Roman"/>
                <w:sz w:val="24"/>
                <w:highlight w:val="none"/>
                <w:vertAlign w:val="baseline"/>
                <w:lang w:val="ru-RU"/>
              </w:rPr>
            </w:r>
            <w:r/>
          </w:p>
        </w:tc>
      </w:tr>
      <w:tr>
        <w:trPr/>
        <w:tc>
          <w:tcPr>
            <w:tcW w:w="1134" w:type="dxa"/>
            <w:vMerge w:val="continue"/>
            <w:textDirection w:val="lrTb"/>
            <w:noWrap w:val="false"/>
          </w:tcPr>
          <w:p>
            <w:r/>
            <w:r/>
          </w:p>
        </w:tc>
        <w:tc>
          <w:tcPr>
            <w:tcW w:w="5811" w:type="dxa"/>
            <w:vMerge w:val="continue"/>
            <w:textDirection w:val="lrTb"/>
            <w:noWrap w:val="false"/>
          </w:tcPr>
          <w:p>
            <w:r/>
            <w:r/>
          </w:p>
        </w:tc>
        <w:tc>
          <w:tcPr>
            <w:tcW w:w="7625" w:type="dxa"/>
            <w:vMerge w:val="restart"/>
            <w:textDirection w:val="lrTb"/>
            <w:noWrap w:val="false"/>
          </w:tcPr>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t xml:space="preserve">О</w:t>
            </w:r>
            <w:r>
              <w:rPr>
                <w:rFonts w:ascii="Times New Roman" w:hAnsi="Times New Roman" w:cs="Times New Roman" w:eastAsia="Times New Roman"/>
                <w:sz w:val="24"/>
                <w:highlight w:val="none"/>
              </w:rPr>
              <w:t xml:space="preserve">тсутствие регистрации контролируемого лица в федеральной государственной информационной системе "Единая информационно-аналитическая система тарифного регулирования" (ФГИС "ТАРИФ") (http://ri.eias.ru/) по истечении тридцати дней со дня подачи в Министерство</w:t>
            </w:r>
            <w:r>
              <w:rPr>
                <w:rFonts w:ascii="Times New Roman" w:hAnsi="Times New Roman" w:cs="Times New Roman" w:eastAsia="Times New Roman"/>
                <w:sz w:val="24"/>
                <w:highlight w:val="none"/>
              </w:rPr>
              <w:t xml:space="preserve"> заявления об установлении цен (тарифов) в сфере водоснабжения и водоотведения (для организаций, впервые обратившихся с предложением об установлении регулируемых государством цен (тарифов)).</w:t>
            </w:r>
            <w:r>
              <w:rPr>
                <w:rFonts w:ascii="Times New Roman" w:hAnsi="Times New Roman" w:cs="Times New Roman" w:eastAsia="Times New Roman"/>
                <w:sz w:val="24"/>
                <w:highlight w:val="none"/>
              </w:rPr>
            </w:r>
            <w:r/>
          </w:p>
        </w:tc>
      </w:tr>
      <w:tr>
        <w:trPr/>
        <w:tc>
          <w:tcPr>
            <w:tcW w:w="1134" w:type="dxa"/>
            <w:vMerge w:val="restart"/>
            <w:textDirection w:val="lrTb"/>
            <w:noWrap w:val="false"/>
          </w:tcPr>
          <w:p>
            <w:pPr>
              <w:jc w:val="center"/>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t xml:space="preserve">7</w:t>
            </w:r>
            <w:r>
              <w:rPr>
                <w:rFonts w:ascii="Times New Roman" w:hAnsi="Times New Roman" w:cs="Times New Roman" w:eastAsia="Times New Roman"/>
                <w:sz w:val="24"/>
                <w:highlight w:val="none"/>
              </w:rPr>
            </w:r>
            <w:r/>
          </w:p>
          <w:p>
            <w:r/>
            <w:r/>
          </w:p>
        </w:tc>
        <w:tc>
          <w:tcPr>
            <w:tcW w:w="5811" w:type="dxa"/>
            <w:vMerge w:val="restart"/>
            <w:textDirection w:val="lrTb"/>
            <w:noWrap w:val="false"/>
          </w:tcPr>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t xml:space="preserve">Региональный государственный контроль (надзор) в области регулирования тарифов в сфере обращения с твердыми коммунальными отходами</w:t>
            </w:r>
            <w:r>
              <w:rPr>
                <w:rFonts w:ascii="Times New Roman" w:hAnsi="Times New Roman" w:cs="Times New Roman" w:eastAsia="Times New Roman"/>
                <w:sz w:val="24"/>
                <w:highlight w:val="none"/>
              </w:rPr>
            </w:r>
            <w:r/>
          </w:p>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r>
            <w:r/>
          </w:p>
        </w:tc>
        <w:tc>
          <w:tcPr>
            <w:tcW w:w="7625" w:type="dxa"/>
            <w:vMerge w:val="restart"/>
            <w:textDirection w:val="lrTb"/>
            <w:noWrap w:val="false"/>
          </w:tcPr>
          <w:p>
            <w:pPr>
              <w:jc w:val="both"/>
              <w:rPr>
                <w:sz w:val="24"/>
              </w:rPr>
            </w:pPr>
            <w:r>
              <w:rPr>
                <w:rFonts w:ascii="Times New Roman" w:hAnsi="Times New Roman" w:cs="Times New Roman" w:eastAsia="Times New Roman"/>
                <w:sz w:val="24"/>
                <w:highlight w:val="none"/>
              </w:rPr>
              <w:t xml:space="preserve">Ф</w:t>
            </w:r>
            <w:r>
              <w:rPr>
                <w:rFonts w:ascii="Times New Roman" w:hAnsi="Times New Roman" w:cs="Times New Roman" w:eastAsia="Times New Roman"/>
                <w:sz w:val="24"/>
                <w:highlight w:val="none"/>
              </w:rPr>
              <w:t xml:space="preserve">акт увеличения более чем на 25 процентов выручки контролируемого лица от реализации товаров (работ, услуг) по регулируемым ценам (тарифам) по итогам отчетного финансового года в разрезе соответствующего вида деятельности по сравнению с годом, предшествующи</w:t>
            </w:r>
            <w:r>
              <w:rPr>
                <w:rFonts w:ascii="Times New Roman" w:hAnsi="Times New Roman" w:cs="Times New Roman" w:eastAsia="Times New Roman"/>
                <w:sz w:val="24"/>
                <w:highlight w:val="none"/>
              </w:rPr>
              <w:t xml:space="preserve">м</w:t>
            </w:r>
            <w:r>
              <w:rPr>
                <w:rFonts w:ascii="Times New Roman" w:hAnsi="Times New Roman" w:cs="Times New Roman" w:eastAsia="Times New Roman"/>
                <w:sz w:val="24"/>
                <w:highlight w:val="none"/>
              </w:rPr>
              <w:t xml:space="preserve"> отчетному финансовому году, при отсутствии факта увеличения более чем на 10 процентов объема оказанных услуг по регулируемому виду деятельности (за исключением случаев, если такой рост обусловлен изменением утвержденных регулируемых цен (тарифов)), рассчи</w:t>
            </w:r>
            <w:r>
              <w:rPr>
                <w:rFonts w:ascii="Times New Roman" w:hAnsi="Times New Roman" w:cs="Times New Roman" w:eastAsia="Times New Roman"/>
                <w:sz w:val="24"/>
                <w:highlight w:val="none"/>
              </w:rPr>
              <w:t xml:space="preserve">танный по формулам:</w:t>
            </w:r>
            <w:r>
              <w:rPr>
                <w:sz w:val="24"/>
              </w:rPr>
            </w:r>
            <w:r/>
          </w:p>
          <w:p>
            <w:pPr>
              <w:jc w:val="both"/>
              <w:rPr>
                <w:sz w:val="24"/>
              </w:rPr>
            </w:pPr>
            <w:r>
              <w:rPr>
                <w:rFonts w:ascii="Times New Roman" w:hAnsi="Times New Roman" w:cs="Times New Roman" w:eastAsia="Times New Roman"/>
                <w:sz w:val="24"/>
                <w:highlight w:val="none"/>
              </w:rPr>
            </w:r>
            <w:r>
              <w:rPr>
                <w:sz w:val="24"/>
              </w:rPr>
            </w:r>
            <w:r/>
          </w:p>
          <w:p>
            <w:pPr>
              <w:jc w:val="both"/>
              <w:rPr>
                <w:sz w:val="24"/>
              </w:rPr>
            </w:pPr>
            <w:r>
              <w:rPr>
                <w:rFonts w:ascii="Times New Roman" w:hAnsi="Times New Roman" w:cs="Times New Roman" w:eastAsia="Times New Roman"/>
                <w:sz w:val="24"/>
                <w:highlight w:val="none"/>
              </w:rPr>
              <w:t xml:space="preserve">(ВПг1 / ВПг2 - 1) x 100% &gt; 25%,</w:t>
            </w:r>
            <w:r>
              <w:rPr>
                <w:sz w:val="24"/>
              </w:rPr>
            </w:r>
            <w:r/>
          </w:p>
          <w:p>
            <w:pPr>
              <w:jc w:val="both"/>
              <w:rPr>
                <w:sz w:val="24"/>
              </w:rPr>
            </w:pPr>
            <w:r>
              <w:rPr>
                <w:rFonts w:ascii="Times New Roman" w:hAnsi="Times New Roman" w:cs="Times New Roman" w:eastAsia="Times New Roman"/>
                <w:sz w:val="24"/>
                <w:highlight w:val="none"/>
              </w:rPr>
            </w:r>
            <w:r>
              <w:rPr>
                <w:sz w:val="24"/>
              </w:rPr>
            </w:r>
            <w:r/>
          </w:p>
          <w:p>
            <w:pPr>
              <w:jc w:val="both"/>
              <w:rPr>
                <w:sz w:val="24"/>
              </w:rPr>
            </w:pPr>
            <w:r>
              <w:rPr>
                <w:rFonts w:ascii="Times New Roman" w:hAnsi="Times New Roman" w:cs="Times New Roman" w:eastAsia="Times New Roman"/>
                <w:sz w:val="24"/>
                <w:highlight w:val="none"/>
              </w:rPr>
              <w:t xml:space="preserve">(Vуслуг пг1 / Vуслуг пг2) x 100% &lt; 10%,</w:t>
            </w:r>
            <w:r>
              <w:rPr>
                <w:sz w:val="24"/>
              </w:rPr>
            </w:r>
            <w:r/>
          </w:p>
          <w:p>
            <w:pPr>
              <w:jc w:val="both"/>
              <w:rPr>
                <w:sz w:val="24"/>
              </w:rPr>
            </w:pPr>
            <w:r>
              <w:rPr>
                <w:rFonts w:ascii="Times New Roman" w:hAnsi="Times New Roman" w:cs="Times New Roman" w:eastAsia="Times New Roman"/>
                <w:sz w:val="24"/>
                <w:highlight w:val="none"/>
              </w:rPr>
            </w:r>
            <w:r>
              <w:rPr>
                <w:sz w:val="24"/>
              </w:rPr>
            </w:r>
            <w:r/>
          </w:p>
          <w:p>
            <w:pPr>
              <w:jc w:val="both"/>
              <w:rPr>
                <w:sz w:val="24"/>
              </w:rPr>
            </w:pPr>
            <w:r>
              <w:rPr>
                <w:rFonts w:ascii="Times New Roman" w:hAnsi="Times New Roman" w:cs="Times New Roman" w:eastAsia="Times New Roman"/>
                <w:sz w:val="24"/>
                <w:highlight w:val="none"/>
              </w:rPr>
              <w:t xml:space="preserve">где:</w:t>
            </w:r>
            <w:r>
              <w:rPr>
                <w:sz w:val="24"/>
              </w:rPr>
            </w:r>
            <w:r/>
          </w:p>
          <w:p>
            <w:pPr>
              <w:jc w:val="both"/>
              <w:rPr>
                <w:sz w:val="24"/>
              </w:rPr>
            </w:pPr>
            <w:r>
              <w:rPr>
                <w:rFonts w:ascii="Times New Roman" w:hAnsi="Times New Roman" w:cs="Times New Roman" w:eastAsia="Times New Roman"/>
                <w:sz w:val="24"/>
                <w:highlight w:val="none"/>
              </w:rPr>
              <w:t xml:space="preserve">ВПг1 - выручка отчетного финансового года;</w:t>
            </w:r>
            <w:r>
              <w:rPr>
                <w:sz w:val="24"/>
              </w:rPr>
            </w:r>
            <w:r/>
          </w:p>
          <w:p>
            <w:pPr>
              <w:jc w:val="both"/>
              <w:rPr>
                <w:sz w:val="24"/>
              </w:rPr>
            </w:pPr>
            <w:r>
              <w:rPr>
                <w:rFonts w:ascii="Times New Roman" w:hAnsi="Times New Roman" w:cs="Times New Roman" w:eastAsia="Times New Roman"/>
                <w:sz w:val="24"/>
                <w:highlight w:val="none"/>
              </w:rPr>
              <w:t xml:space="preserve">ВПг2 - выручка года, предшествующего отчетному финансовому году;</w:t>
            </w:r>
            <w:r>
              <w:rPr>
                <w:sz w:val="24"/>
              </w:rPr>
            </w:r>
            <w:r/>
          </w:p>
          <w:p>
            <w:pPr>
              <w:jc w:val="both"/>
              <w:rPr>
                <w:sz w:val="24"/>
              </w:rPr>
            </w:pPr>
            <w:r>
              <w:rPr>
                <w:rFonts w:ascii="Times New Roman" w:hAnsi="Times New Roman" w:cs="Times New Roman" w:eastAsia="Times New Roman"/>
                <w:sz w:val="24"/>
                <w:highlight w:val="none"/>
              </w:rPr>
              <w:t xml:space="preserve">Vуслуг пг1 - объем услуг отчетного финансового года;</w:t>
            </w:r>
            <w:r>
              <w:rPr>
                <w:sz w:val="24"/>
              </w:rPr>
            </w:r>
            <w:r/>
          </w:p>
          <w:p>
            <w:pPr>
              <w:jc w:val="both"/>
              <w:rPr>
                <w:sz w:val="24"/>
              </w:rPr>
            </w:pPr>
            <w:r>
              <w:rPr>
                <w:rFonts w:ascii="Times New Roman" w:hAnsi="Times New Roman" w:cs="Times New Roman" w:eastAsia="Times New Roman"/>
                <w:sz w:val="24"/>
                <w:highlight w:val="none"/>
              </w:rPr>
              <w:t xml:space="preserve">Vуслуг пг2 - объем услуг года, предшествующего отчетному финансовому году.</w:t>
            </w:r>
            <w:r>
              <w:rPr>
                <w:sz w:val="24"/>
              </w:rPr>
            </w:r>
            <w:r/>
          </w:p>
          <w:p>
            <w:pPr>
              <w:jc w:val="both"/>
              <w:rPr>
                <w:rFonts w:ascii="Times New Roman" w:hAnsi="Times New Roman" w:cs="Times New Roman" w:eastAsia="Times New Roman"/>
                <w:highlight w:val="none"/>
              </w:rPr>
            </w:pPr>
            <w:r>
              <w:rPr>
                <w:rFonts w:ascii="Times New Roman" w:hAnsi="Times New Roman" w:cs="Times New Roman" w:eastAsia="Times New Roman"/>
                <w:highlight w:val="none"/>
              </w:rPr>
            </w:r>
            <w:r/>
          </w:p>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r>
            <w:r/>
          </w:p>
        </w:tc>
      </w:tr>
    </w:tbl>
    <w:p>
      <w:pPr>
        <w:jc w:val="both"/>
        <w:rPr>
          <w:rFonts w:ascii="Times New Roman" w:hAnsi="Times New Roman" w:cs="Times New Roman" w:eastAsia="Times New Roman"/>
          <w:sz w:val="28"/>
        </w:rPr>
      </w:pPr>
      <w:r>
        <w:rPr>
          <w:rFonts w:ascii="Times New Roman" w:hAnsi="Times New Roman" w:cs="Times New Roman" w:eastAsia="Times New Roman"/>
          <w:sz w:val="28"/>
          <w:highlight w:val="none"/>
        </w:rPr>
      </w:r>
      <w:r>
        <w:rPr>
          <w:rFonts w:ascii="Times New Roman" w:hAnsi="Times New Roman" w:cs="Times New Roman" w:eastAsia="Times New Roman"/>
          <w:sz w:val="28"/>
          <w:highlight w:val="none"/>
        </w:rPr>
      </w:r>
      <w:r/>
    </w:p>
    <w:p>
      <w:pPr>
        <w:jc w:val="both"/>
        <w:rPr>
          <w:rFonts w:ascii="Times New Roman" w:hAnsi="Times New Roman" w:cs="Times New Roman" w:eastAsia="Times New Roman"/>
          <w:sz w:val="24"/>
          <w:highlight w:val="none"/>
        </w:rPr>
      </w:pPr>
      <w:r>
        <w:rPr>
          <w:rFonts w:ascii="Times New Roman" w:hAnsi="Times New Roman" w:cs="Times New Roman" w:eastAsia="Times New Roman"/>
          <w:sz w:val="24"/>
        </w:rPr>
      </w:r>
      <w:r>
        <w:rPr>
          <w:rFonts w:ascii="Times New Roman" w:hAnsi="Times New Roman" w:cs="Times New Roman" w:eastAsia="Times New Roman"/>
          <w:sz w:val="24"/>
        </w:rPr>
        <w:t xml:space="preserve">П</w:t>
      </w:r>
      <w:r>
        <w:rPr>
          <w:rFonts w:ascii="Times New Roman" w:hAnsi="Times New Roman" w:cs="Times New Roman" w:eastAsia="Times New Roman"/>
          <w:sz w:val="24"/>
        </w:rPr>
        <w:t xml:space="preserve">ри выявлении соответствия объекта контроля параметрам, утвержденным перечнем индикаторов риска нарушения обязательных требований, или отклонения объекта контроля от таких параметров должностное лицо Министерства направляет Министру (заместителю Министра) м</w:t>
      </w:r>
      <w:r>
        <w:rPr>
          <w:rFonts w:ascii="Times New Roman" w:hAnsi="Times New Roman" w:cs="Times New Roman" w:eastAsia="Times New Roman"/>
          <w:sz w:val="24"/>
        </w:rPr>
        <w:t xml:space="preserve">отивированное представление о проведении контрольного (надзорного) мероприятия.</w:t>
      </w:r>
      <w:r>
        <w:rPr>
          <w:rFonts w:ascii="Times New Roman" w:hAnsi="Times New Roman" w:cs="Times New Roman" w:eastAsia="Times New Roman"/>
          <w:sz w:val="24"/>
        </w:rPr>
      </w:r>
      <w:r/>
    </w:p>
    <w:p>
      <w:pPr>
        <w:jc w:val="both"/>
        <w:rPr>
          <w:rFonts w:ascii="Times New Roman" w:hAnsi="Times New Roman" w:cs="Times New Roman" w:eastAsia="Times New Roman"/>
          <w:sz w:val="24"/>
        </w:rPr>
      </w:pPr>
      <w:r>
        <w:rPr>
          <w:rFonts w:ascii="Times New Roman" w:hAnsi="Times New Roman" w:cs="Times New Roman" w:eastAsia="Times New Roman"/>
          <w:sz w:val="24"/>
          <w:highlight w:val="none"/>
        </w:rPr>
      </w:r>
      <w:r>
        <w:rPr>
          <w:rFonts w:ascii="Times New Roman" w:hAnsi="Times New Roman" w:cs="Times New Roman" w:eastAsia="Times New Roman"/>
          <w:sz w:val="24"/>
          <w:highlight w:val="none"/>
        </w:rPr>
      </w:r>
      <w:r/>
    </w:p>
    <w:p>
      <w:pPr>
        <w:ind w:left="0" w:right="0" w:firstLine="0"/>
        <w:jc w:val="center"/>
        <w:spacing w:lineRule="auto" w:line="240" w:after="60"/>
        <w:rPr>
          <w:rFonts w:ascii="Times New Roman" w:hAnsi="Times New Roman" w:cs="Times New Roman" w:eastAsia="Times New Roman"/>
          <w:b/>
          <w:i/>
          <w:sz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sectPr>
          <w:footnotePr/>
          <w:endnotePr/>
          <w:type w:val="nextPage"/>
          <w:pgSz w:w="16838" w:h="11906" w:orient="landscape"/>
          <w:pgMar w:top="1701" w:right="1134" w:bottom="850" w:left="1134" w:header="709" w:footer="709" w:gutter="0"/>
          <w:cols w:num="1" w:sep="0" w:space="708" w:equalWidth="1"/>
          <w:docGrid w:linePitch="360"/>
        </w:sectPr>
        <w:outlineLvl w:val="1"/>
      </w:pP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b/>
          <w:i/>
          <w:sz w:val="24"/>
          <w:szCs w:val="24"/>
          <w:lang w:val="ru-RU" w:bidi="ru-RU"/>
        </w:rPr>
        <w:outlineLvl w:val="1"/>
      </w:pPr>
      <w:r>
        <w:rPr>
          <w:rFonts w:ascii="Times New Roman" w:hAnsi="Times New Roman" w:cs="Times New Roman" w:eastAsia="Times New Roman"/>
          <w:b/>
          <w:bCs/>
          <w:i/>
          <w:iCs/>
          <w:sz w:val="24"/>
          <w:szCs w:val="24"/>
          <w:lang w:val="ru-RU" w:bidi="ru-RU"/>
        </w:rPr>
        <w:t xml:space="preserve">КРИТЕРИИ</w:t>
      </w: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lang w:val="ru-RU" w:bidi="ru-RU"/>
        </w:rPr>
        <w:outlineLvl w:val="1"/>
      </w:pPr>
      <w:r>
        <w:rPr>
          <w:rFonts w:ascii="Times New Roman" w:hAnsi="Times New Roman" w:cs="Times New Roman" w:eastAsia="Times New Roman"/>
          <w:b/>
          <w:bCs/>
          <w:i/>
          <w:iCs/>
          <w:sz w:val="24"/>
          <w:szCs w:val="24"/>
          <w:lang w:val="ru-RU" w:bidi="ru-RU"/>
        </w:rPr>
        <w:t xml:space="preserve">ОТНЕСЕНИЯ ОБЪЕКТОВ РЕГИОНАЛЬНОГО ГОСУДАРСТВЕННОГО КОНТРОЛЯ</w:t>
      </w: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lang w:val="ru-RU" w:bidi="ru-RU"/>
        </w:rPr>
        <w:outlineLvl w:val="1"/>
      </w:pPr>
      <w:r>
        <w:rPr>
          <w:rFonts w:ascii="Times New Roman" w:hAnsi="Times New Roman" w:cs="Times New Roman" w:eastAsia="Times New Roman"/>
          <w:b/>
          <w:bCs/>
          <w:i/>
          <w:iCs/>
          <w:sz w:val="24"/>
          <w:szCs w:val="24"/>
          <w:lang w:val="ru-RU" w:bidi="ru-RU"/>
        </w:rPr>
        <w:t xml:space="preserve">В ОБЛАСТИ РЕГУЛИРУЕМЫХ ГОСУДАРСТВОМ ЦЕН (ТАРИФОВ)</w:t>
      </w:r>
      <w:r>
        <w:rPr>
          <w:rFonts w:ascii="Times New Roman" w:hAnsi="Times New Roman" w:cs="Times New Roman" w:eastAsia="Times New Roman"/>
          <w:b/>
          <w:bCs/>
          <w:i/>
          <w:iCs/>
          <w:sz w:val="24"/>
          <w:szCs w:val="24"/>
          <w:lang w:val="ru-RU" w:bidi="ru-RU"/>
        </w:rPr>
      </w:r>
      <w:r/>
    </w:p>
    <w:p>
      <w:pPr>
        <w:ind w:left="0" w:right="0" w:firstLine="0"/>
        <w:jc w:val="center"/>
        <w:spacing w:lineRule="auto" w:line="240" w:after="60"/>
        <w:rPr>
          <w:rFonts w:ascii="Times New Roman" w:hAnsi="Times New Roman" w:cs="Times New Roman" w:eastAsia="Times New Roman"/>
          <w:lang w:val="ru-RU" w:bidi="ru-RU"/>
        </w:rPr>
        <w:outlineLvl w:val="1"/>
      </w:pPr>
      <w:r>
        <w:rPr>
          <w:rFonts w:ascii="Times New Roman" w:hAnsi="Times New Roman" w:cs="Times New Roman" w:eastAsia="Times New Roman"/>
          <w:b/>
          <w:bCs/>
          <w:i/>
          <w:iCs/>
          <w:sz w:val="24"/>
          <w:szCs w:val="24"/>
          <w:lang w:val="ru-RU" w:bidi="ru-RU"/>
        </w:rPr>
        <w:t xml:space="preserve">К КАТЕГОРИЯМ РИСКА</w:t>
      </w:r>
      <w:r>
        <w:rPr>
          <w:rFonts w:ascii="Times New Roman" w:hAnsi="Times New Roman" w:cs="Times New Roman" w:eastAsia="Times New Roman"/>
          <w:b/>
          <w:bCs/>
          <w:i/>
          <w:iCs/>
          <w:sz w:val="24"/>
          <w:szCs w:val="24"/>
          <w:lang w:val="ru-RU" w:bidi="ru-RU"/>
        </w:rPr>
      </w:r>
      <w:r/>
    </w:p>
    <w:p>
      <w:pPr>
        <w:ind w:left="0" w:right="0" w:firstLine="0"/>
        <w:jc w:val="left"/>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p>
      <w:pPr>
        <w:ind w:left="0" w:right="0" w:firstLine="540"/>
        <w:jc w:val="both"/>
        <w:spacing w:lineRule="auto" w:line="240" w:after="0"/>
        <w:rPr>
          <w:rFonts w:ascii="Times New Roman" w:hAnsi="Times New Roman" w:cs="Times New Roman" w:eastAsia="Times New Roman"/>
          <w:lang w:val="ru-RU" w:bidi="ru-RU"/>
        </w:rPr>
        <w:outlineLvl w:val="0"/>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p>
      <w:pPr>
        <w:ind w:left="0" w:right="0" w:firstLine="540"/>
        <w:jc w:val="both"/>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Критерии отнесения объектов контроля к определенным категориям риска разработаны с </w:t>
      </w:r>
      <w:r>
        <w:rPr>
          <w:rFonts w:ascii="Times New Roman" w:hAnsi="Times New Roman" w:cs="Times New Roman" w:eastAsia="Times New Roman"/>
          <w:sz w:val="24"/>
          <w:szCs w:val="24"/>
          <w:lang w:val="ru-RU" w:bidi="ru-RU"/>
        </w:rPr>
        <w:t xml:space="preserve">учетом тяжести потенциальных негативных последствий возможного несоблюдения контролируемыми лицами обязательных требований, предусмотренных федеральными законами и принимаемыми в соответствии с ними иными нормативными правовыми актами Российской Федерации.</w:t>
      </w:r>
      <w:r>
        <w:rPr>
          <w:rFonts w:ascii="Times New Roman" w:hAnsi="Times New Roman" w:cs="Times New Roman" w:eastAsia="Times New Roman"/>
          <w:sz w:val="24"/>
          <w:szCs w:val="24"/>
          <w:lang w:val="ru-RU" w:bidi="ru-RU"/>
        </w:rPr>
      </w:r>
      <w:r/>
    </w:p>
    <w:p>
      <w:pPr>
        <w:ind w:left="0" w:right="0" w:firstLine="540"/>
        <w:jc w:val="both"/>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bl>
      <w:tblPr>
        <w:tblStyle w:val="623"/>
        <w:tblW w:w="0" w:type="auto"/>
        <w:tblInd w:w="0" w:type="dxa"/>
        <w:tblBorders>
          <w:left w:val="none" w:color="000000" w:sz="0" w:space="0"/>
          <w:top w:val="none" w:color="000000" w:sz="0" w:space="0"/>
          <w:right w:val="none" w:color="000000" w:sz="0" w:space="0"/>
          <w:bottom w:val="none" w:color="000000" w:sz="0" w:space="0"/>
          <w:insideV w:val="none" w:color="000000" w:sz="0" w:space="0"/>
          <w:insideH w:val="none" w:color="000000" w:sz="0" w:space="0"/>
        </w:tblBorders>
        <w:tblLayout w:type="fixed"/>
        <w:tblCellMar>
          <w:left w:w="62" w:type="dxa"/>
          <w:top w:w="102" w:type="dxa"/>
          <w:right w:w="62" w:type="dxa"/>
          <w:bottom w:w="102" w:type="dxa"/>
        </w:tblCellMar>
        <w:tblLook w:val="04A0" w:firstRow="1" w:lastRow="0" w:firstColumn="1" w:lastColumn="0" w:noHBand="0" w:noVBand="1"/>
      </w:tblPr>
      <w:tblGrid>
        <w:gridCol w:w="709"/>
        <w:gridCol w:w="7717"/>
        <w:gridCol w:w="992"/>
      </w:tblGrid>
      <w:tr>
        <w:trPr/>
        <w:tc>
          <w:tcPr>
            <w:tcBorders>
              <w:left w:val="single" w:color="000000" w:sz="4" w:space="0"/>
              <w:top w:val="single" w:color="000000" w:sz="4" w:space="0"/>
              <w:right w:val="single" w:color="000000" w:sz="4" w:space="0"/>
              <w:bottom w:val="single" w:color="000000" w:sz="4" w:space="0"/>
            </w:tcBorders>
            <w:tcW w:w="709"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N п/п</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Наименование Критерия</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Баллы</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1</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2</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3</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restart"/>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1</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Период осуществления регулируемой деятельности на дату принятия решения об отнесении деятельности юридического лица или индивидуального предпринимателя к категории риска:</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left"/>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left"/>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менее 1 года</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0</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от 1 до 2 лет</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1</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от 2 до 3 лет</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2</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от 3 лет и выше</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3</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tcBorders>
            <w:tcW w:w="709" w:type="dxa"/>
            <w:vAlign w:val="top"/>
            <w:vMerge w:val="restart"/>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2</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Количество регулируемых видов деятельности:</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left"/>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tcBorders>
            <w:tcW w:w="709" w:type="dxa"/>
            <w:vAlign w:val="top"/>
            <w:vMerge w:val="continue"/>
            <w:textDirection w:val="lrTb"/>
            <w:noWrap w:val="false"/>
          </w:tcPr>
          <w:p>
            <w:pPr>
              <w:ind w:left="0" w:right="0" w:firstLine="0"/>
              <w:jc w:val="left"/>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один вид регулируемой деятельности</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1</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tcBorders>
            <w:tcW w:w="709" w:type="dxa"/>
            <w:vAlign w:val="top"/>
            <w:vMerge w:val="continue"/>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два регулируемых вида деятельности</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2</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tcBorders>
            <w:tcW w:w="709" w:type="dxa"/>
            <w:vAlign w:val="top"/>
            <w:vMerge w:val="continue"/>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от трех и более регулируемых видов деятельности</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3</w:t>
            </w:r>
            <w:r>
              <w:rPr>
                <w:rFonts w:ascii="Times New Roman" w:hAnsi="Times New Roman" w:cs="Times New Roman" w:eastAsia="Times New Roman"/>
                <w:sz w:val="24"/>
                <w:szCs w:val="24"/>
                <w:lang w:val="ru-RU" w:bidi="ru-RU"/>
              </w:rPr>
            </w:r>
            <w:r/>
          </w:p>
        </w:tc>
      </w:tr>
      <w:tr>
        <w:trPr/>
        <w:tc>
          <w:tcPr>
            <w:gridSpan w:val="3"/>
            <w:tcBorders>
              <w:left w:val="single" w:color="000000" w:sz="4" w:space="0"/>
              <w:right w:val="single" w:color="000000" w:sz="4" w:space="0"/>
              <w:bottom w:val="single" w:color="000000" w:sz="4" w:space="0"/>
            </w:tcBorders>
            <w:tcW w:w="9418" w:type="dxa"/>
            <w:vAlign w:val="top"/>
            <w:textDirection w:val="lrTb"/>
            <w:noWrap w:val="false"/>
          </w:tcPr>
          <w:p>
            <w:pPr>
              <w:ind w:left="0" w:right="0" w:firstLine="0"/>
              <w:jc w:val="both"/>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(в ред. </w:t>
            </w:r>
            <w:hyperlink r:id="rId8" w:tooltip="https://login.consultant.ru/link/?req=doc&amp;base=RLAW021&amp;n=186785&amp;dst=100008" w:history="1">
              <w:r>
                <w:rPr>
                  <w:rFonts w:ascii="Times New Roman" w:hAnsi="Times New Roman" w:cs="Times New Roman" w:eastAsia="Times New Roman"/>
                  <w:color w:val="0000FF"/>
                  <w:sz w:val="24"/>
                  <w:szCs w:val="24"/>
                  <w:lang w:val="ru-RU" w:bidi="ru-RU"/>
                </w:rPr>
                <w:t xml:space="preserve">Постановления</w:t>
              </w:r>
            </w:hyperlink>
            <w:r>
              <w:rPr>
                <w:rFonts w:ascii="Times New Roman" w:hAnsi="Times New Roman" w:cs="Times New Roman" w:eastAsia="Times New Roman"/>
                <w:sz w:val="24"/>
                <w:szCs w:val="24"/>
                <w:lang w:val="ru-RU" w:bidi="ru-RU"/>
              </w:rPr>
              <w:t xml:space="preserve"> Правительства Пензенской обл. от 24.10.2023 N 939-пП)</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restart"/>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3</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Наличие инвестиционной программы по регулируемым видам деятельности:</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left"/>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left"/>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не предусмотрено утверждение инвестиционной программы для регулируемой организации</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0</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не имеется инвестиционная программа</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1</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имеется инвестиционная программа</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2</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restart"/>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4</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Обязанность по опубликованию информации о регулируемых видах деятельности в соответствии со стандартами раскрытия информации:</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left"/>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left"/>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не имеется обязанности</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0</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имеется обязанность по одному регулируемому виду деятельности</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1</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имеется обязанность по двум и более регулируемым видам деятельности</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2</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restart"/>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5</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Привлечение к админис</w:t>
            </w:r>
            <w:r>
              <w:rPr>
                <w:rFonts w:ascii="Times New Roman" w:hAnsi="Times New Roman" w:cs="Times New Roman" w:eastAsia="Times New Roman"/>
                <w:sz w:val="24"/>
                <w:szCs w:val="24"/>
                <w:lang w:val="ru-RU" w:bidi="ru-RU"/>
              </w:rPr>
              <w:t xml:space="preserve">тративной ответственности за нарушения законодательства в области регулируемых государством цен (тарифов) за предшествующие три года на дату принятия решения об отнесении деятельности юридического лица или индивидуального предпринимателя к категории риска:</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left"/>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left"/>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не привлекались либо по результатам процедуры обжалования административное дело прекращено в связи с отсутствием события или состава административного правонарушения</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0</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решение о прекращении административного дела в связи с малозначительностью совершенного правонарушения</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1</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решение о привлечении к административной ответственности с наложением штрафа (или его заменой на предупреждение)</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2</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restart"/>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6</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Предписание по установлению нарушений законодательства в области регулируемых государством цен (тарифов) в течение последних 3 лет на дату принятия решения об отнесении деятельности юридического лица или индивидуального предпринимателя к категории риска:</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left"/>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left"/>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не выдавалось либо выдавалось, но по результатам процедуры обжалования было признано незаконным и отменено</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0</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выполнено в полном объеме в установленные сроки</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1</w:t>
            </w:r>
            <w:r>
              <w:rPr>
                <w:rFonts w:ascii="Times New Roman" w:hAnsi="Times New Roman" w:cs="Times New Roman" w:eastAsia="Times New Roman"/>
                <w:sz w:val="24"/>
                <w:szCs w:val="24"/>
                <w:lang w:val="ru-RU" w:bidi="ru-RU"/>
              </w:rPr>
            </w:r>
            <w:r/>
          </w:p>
        </w:tc>
      </w:tr>
      <w:tr>
        <w:trPr/>
        <w:tc>
          <w:tcPr>
            <w:tcBorders>
              <w:left w:val="single" w:color="000000" w:sz="4" w:space="0"/>
              <w:top w:val="single" w:color="000000" w:sz="4" w:space="0"/>
              <w:right w:val="single" w:color="000000" w:sz="4" w:space="0"/>
              <w:bottom w:val="single" w:color="000000" w:sz="4" w:space="0"/>
            </w:tcBorders>
            <w:tcW w:w="709" w:type="dxa"/>
            <w:vAlign w:val="top"/>
            <w:vMerge w:val="continue"/>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7717"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выполнено с нарушением установленного срока, либо выполнено частично, либо не выполнено полностью</w:t>
            </w:r>
            <w:r>
              <w:rPr>
                <w:rFonts w:ascii="Times New Roman" w:hAnsi="Times New Roman" w:cs="Times New Roman" w:eastAsia="Times New Roman"/>
                <w:sz w:val="24"/>
                <w:szCs w:val="24"/>
                <w:lang w:val="ru-RU" w:bidi="ru-RU"/>
              </w:rPr>
            </w:r>
            <w:r/>
          </w:p>
        </w:tc>
        <w:tc>
          <w:tcPr>
            <w:tcBorders>
              <w:left w:val="single" w:color="000000" w:sz="4" w:space="0"/>
              <w:top w:val="single" w:color="000000" w:sz="4" w:space="0"/>
              <w:right w:val="single" w:color="000000" w:sz="4" w:space="0"/>
              <w:bottom w:val="single" w:color="000000" w:sz="4" w:space="0"/>
            </w:tcBorders>
            <w:tcW w:w="992" w:type="dxa"/>
            <w:vAlign w:val="top"/>
            <w:textDirection w:val="lrTb"/>
            <w:noWrap w:val="false"/>
          </w:tcPr>
          <w:p>
            <w:pPr>
              <w:ind w:left="0" w:right="0" w:firstLine="0"/>
              <w:jc w:val="center"/>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2</w:t>
            </w:r>
            <w:r>
              <w:rPr>
                <w:rFonts w:ascii="Times New Roman" w:hAnsi="Times New Roman" w:cs="Times New Roman" w:eastAsia="Times New Roman"/>
                <w:sz w:val="24"/>
                <w:szCs w:val="24"/>
                <w:lang w:val="ru-RU" w:bidi="ru-RU"/>
              </w:rPr>
            </w:r>
            <w:r/>
          </w:p>
        </w:tc>
      </w:tr>
    </w:tbl>
    <w:p>
      <w:pPr>
        <w:ind w:left="0" w:right="0" w:firstLine="540"/>
        <w:jc w:val="both"/>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r>
      <w:r>
        <w:rPr>
          <w:rFonts w:ascii="Times New Roman" w:hAnsi="Times New Roman" w:cs="Times New Roman" w:eastAsia="Times New Roman"/>
          <w:sz w:val="24"/>
          <w:szCs w:val="24"/>
          <w:lang w:val="ru-RU" w:bidi="ru-RU"/>
        </w:rPr>
      </w:r>
      <w:r/>
    </w:p>
    <w:p>
      <w:pPr>
        <w:ind w:left="0" w:right="0" w:firstLine="540"/>
        <w:jc w:val="both"/>
        <w:spacing w:lineRule="auto" w:line="240" w:after="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Деятельность объекта контроля подлежит отнесению Министерством к следующим категориям риска исходя из сложения количества баллов, набранных контролируемым лицом по каждому Критерию:</w:t>
      </w:r>
      <w:r>
        <w:rPr>
          <w:rFonts w:ascii="Times New Roman" w:hAnsi="Times New Roman" w:cs="Times New Roman" w:eastAsia="Times New Roman"/>
          <w:sz w:val="24"/>
          <w:szCs w:val="24"/>
          <w:lang w:val="ru-RU" w:bidi="ru-RU"/>
        </w:rPr>
      </w:r>
      <w:r/>
    </w:p>
    <w:p>
      <w:pPr>
        <w:ind w:left="0" w:right="0" w:firstLine="540"/>
        <w:jc w:val="both"/>
        <w:spacing w:lineRule="auto" w:line="240" w:after="0" w:before="20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категория высокого риска - свыше 10 баллов;</w:t>
      </w:r>
      <w:r>
        <w:rPr>
          <w:rFonts w:ascii="Times New Roman" w:hAnsi="Times New Roman" w:cs="Times New Roman" w:eastAsia="Times New Roman"/>
          <w:sz w:val="24"/>
          <w:szCs w:val="24"/>
          <w:lang w:val="ru-RU" w:bidi="ru-RU"/>
        </w:rPr>
      </w:r>
      <w:r/>
    </w:p>
    <w:p>
      <w:pPr>
        <w:ind w:left="0" w:right="0" w:firstLine="540"/>
        <w:jc w:val="both"/>
        <w:spacing w:lineRule="auto" w:line="240" w:after="0" w:before="20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категория среднего риска - от 5 до 10 баллов;</w:t>
      </w:r>
      <w:r>
        <w:rPr>
          <w:rFonts w:ascii="Times New Roman" w:hAnsi="Times New Roman" w:cs="Times New Roman" w:eastAsia="Times New Roman"/>
          <w:sz w:val="24"/>
          <w:szCs w:val="24"/>
          <w:lang w:val="ru-RU" w:bidi="ru-RU"/>
        </w:rPr>
      </w:r>
      <w:r/>
    </w:p>
    <w:p>
      <w:pPr>
        <w:ind w:left="0" w:right="0" w:firstLine="540"/>
        <w:jc w:val="both"/>
        <w:spacing w:lineRule="auto" w:line="240" w:after="0" w:before="200"/>
        <w:rPr>
          <w:rFonts w:ascii="Times New Roman" w:hAnsi="Times New Roman" w:cs="Times New Roman" w:eastAsia="Times New Roman"/>
          <w:lang w:val="ru-RU" w:bidi="ru-RU"/>
        </w:rPr>
      </w:pPr>
      <w:r>
        <w:rPr>
          <w:rFonts w:ascii="Times New Roman" w:hAnsi="Times New Roman" w:cs="Times New Roman" w:eastAsia="Times New Roman"/>
          <w:sz w:val="24"/>
          <w:szCs w:val="24"/>
          <w:lang w:val="ru-RU" w:bidi="ru-RU"/>
        </w:rPr>
        <w:t xml:space="preserve">категория низкого риска - менее 5 баллов.</w:t>
      </w:r>
      <w:r>
        <w:rPr>
          <w:rFonts w:ascii="Times New Roman" w:hAnsi="Times New Roman" w:cs="Times New Roman" w:eastAsia="Times New Roman"/>
          <w:sz w:val="24"/>
          <w:szCs w:val="24"/>
          <w:lang w:val="ru-RU" w:bidi="ru-RU"/>
        </w:rPr>
      </w:r>
      <w:r/>
    </w:p>
    <w:p>
      <w:pPr>
        <w:jc w:val="both"/>
        <w:rPr>
          <w:rFonts w:ascii="Times New Roman" w:hAnsi="Times New Roman" w:cs="Times New Roman" w:eastAsia="Times New Roman"/>
          <w:sz w:val="24"/>
        </w:rPr>
      </w:pPr>
      <w:r>
        <w:rPr>
          <w:rFonts w:ascii="Times New Roman" w:hAnsi="Times New Roman" w:cs="Times New Roman" w:eastAsia="Times New Roman"/>
          <w:sz w:val="24"/>
        </w:rPr>
      </w:r>
      <w:r>
        <w:rPr>
          <w:rFonts w:ascii="Times New Roman" w:hAnsi="Times New Roman" w:cs="Times New Roman" w:eastAsia="Times New Roman"/>
          <w:sz w:val="24"/>
        </w:rPr>
      </w:r>
      <w:r/>
    </w:p>
    <w:p>
      <w:pPr>
        <w:pStyle w:val="628"/>
        <w:ind w:left="0" w:right="0" w:firstLine="0"/>
        <w:jc w:val="both"/>
        <w:spacing w:lineRule="auto" w:line="240" w:after="0"/>
        <w:rPr>
          <w:rFonts w:ascii="Times New Roman" w:hAnsi="Times New Roman" w:cs="Times New Roman" w:eastAsia="Times New Roman"/>
          <w:i/>
        </w:rPr>
      </w:pPr>
      <w:r>
        <w:rPr>
          <w:i/>
          <w:iCs/>
          <w:sz w:val="24"/>
          <w:szCs w:val="24"/>
          <w:lang w:val="ru-RU" w:bidi="ru-RU"/>
        </w:rPr>
      </w:r>
      <w:r>
        <w:rPr>
          <w:i/>
        </w:rPr>
        <w:t xml:space="preserve">Постановление Правительства Пензенской обл. от 30.11.2021 № 800-пП (ред. от 13.07.2026) «Об утверждении Положения о региональном государ</w:t>
      </w:r>
      <w:r>
        <w:rPr>
          <w:i/>
        </w:rPr>
        <w:t xml:space="preserve">ственном контроле (надзоре) в области регулируемых государством цен (тарифов) и признании утратившими силу отдельных постановлений Правительства Пензенской области" (вместе с "Перечнем индикаторов риска нарушения обязательных требований») {КонсультантПлюс}</w:t>
      </w:r>
      <w:r>
        <w:rPr>
          <w:i/>
        </w:rPr>
      </w:r>
      <w:r/>
    </w:p>
    <w:p>
      <w:pPr>
        <w:pStyle w:val="628"/>
        <w:ind w:left="0" w:right="0" w:firstLine="0"/>
        <w:jc w:val="both"/>
        <w:spacing w:lineRule="auto" w:line="240" w:after="0"/>
        <w:rPr>
          <w:rFonts w:ascii="A*i*l" w:hAnsi="A*i*l" w:cs="A*i*l" w:eastAsia="A*i*l"/>
          <w:lang w:val="ru-RU" w:bidi="ru-RU"/>
        </w:rPr>
      </w:pPr>
      <w:r>
        <w:rPr>
          <w:rFonts w:ascii="A*i*l" w:hAnsi="A*i*l" w:cs="A*i*l" w:eastAsia="A*i*l"/>
          <w:sz w:val="16"/>
          <w:szCs w:val="16"/>
          <w:lang w:val="ru-RU" w:bidi="ru-RU"/>
        </w:rPr>
      </w:r>
      <w:r>
        <w:rPr>
          <w:rFonts w:ascii="A*i*l" w:hAnsi="A*i*l" w:cs="A*i*l" w:eastAsia="A*i*l"/>
          <w:sz w:val="16"/>
          <w:szCs w:val="16"/>
          <w:lang w:val="ru-RU" w:bidi="ru-RU"/>
        </w:rPr>
      </w:r>
      <w:r/>
    </w:p>
    <w:p>
      <w:pPr>
        <w:jc w:val="both"/>
        <w:rPr>
          <w:rFonts w:ascii="Times New Roman" w:hAnsi="Times New Roman" w:cs="Times New Roman" w:eastAsia="Times New Roman"/>
          <w:sz w:val="24"/>
        </w:rPr>
      </w:pPr>
      <w:r>
        <w:rPr>
          <w:rFonts w:ascii="Times New Roman" w:hAnsi="Times New Roman" w:cs="Times New Roman" w:eastAsia="Times New Roman"/>
          <w:sz w:val="24"/>
        </w:rPr>
      </w:r>
      <w:r>
        <w:rPr>
          <w:rFonts w:ascii="Times New Roman" w:hAnsi="Times New Roman" w:cs="Times New Roman" w:eastAsia="Times New Roman"/>
          <w:sz w:val="24"/>
        </w:rPr>
      </w:r>
      <w:r/>
    </w:p>
    <w:sectPr>
      <w:footnotePr/>
      <w:endnotePr/>
      <w:type w:val="continuous"/>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i*l">
    <w:panose1 w:val="020B0503020202020204"/>
  </w:font>
  <w:font w:name="Arial">
    <w:panose1 w:val="020B0604020202020204"/>
  </w:font>
  <w:font w:name="PT Sans">
    <w:panose1 w:val="020B0503020203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6"/>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Sans" w:hAnsi="PT Sans" w:cs="PT Sans" w:eastAsia="PT Sans"/>
        <w:sz w:val="22"/>
        <w:szCs w:val="22"/>
        <w:lang w:val="ru-RU"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447">
    <w:name w:val="Heading 1"/>
    <w:basedOn w:val="622"/>
    <w:next w:val="622"/>
    <w:link w:val="448"/>
    <w:qFormat/>
    <w:uiPriority w:val="9"/>
    <w:rPr>
      <w:rFonts w:ascii="Arial" w:hAnsi="Arial" w:cs="Arial" w:eastAsia="Arial"/>
      <w:sz w:val="40"/>
      <w:szCs w:val="40"/>
    </w:rPr>
    <w:pPr>
      <w:keepLines/>
      <w:keepNext/>
      <w:spacing w:after="200" w:before="480"/>
      <w:outlineLvl w:val="0"/>
    </w:pPr>
  </w:style>
  <w:style w:type="character" w:styleId="448">
    <w:name w:val="Heading 1 Char"/>
    <w:link w:val="447"/>
    <w:uiPriority w:val="9"/>
    <w:rPr>
      <w:rFonts w:ascii="Arial" w:hAnsi="Arial" w:cs="Arial" w:eastAsia="Arial"/>
      <w:sz w:val="40"/>
      <w:szCs w:val="40"/>
    </w:rPr>
  </w:style>
  <w:style w:type="paragraph" w:styleId="449">
    <w:name w:val="Heading 2"/>
    <w:basedOn w:val="622"/>
    <w:next w:val="622"/>
    <w:link w:val="450"/>
    <w:qFormat/>
    <w:uiPriority w:val="9"/>
    <w:unhideWhenUsed/>
    <w:rPr>
      <w:rFonts w:ascii="Arial" w:hAnsi="Arial" w:cs="Arial" w:eastAsia="Arial"/>
      <w:sz w:val="34"/>
    </w:rPr>
    <w:pPr>
      <w:keepLines/>
      <w:keepNext/>
      <w:spacing w:after="200" w:before="360"/>
      <w:outlineLvl w:val="1"/>
    </w:pPr>
  </w:style>
  <w:style w:type="character" w:styleId="450">
    <w:name w:val="Heading 2 Char"/>
    <w:link w:val="449"/>
    <w:uiPriority w:val="9"/>
    <w:rPr>
      <w:rFonts w:ascii="Arial" w:hAnsi="Arial" w:cs="Arial" w:eastAsia="Arial"/>
      <w:sz w:val="34"/>
    </w:rPr>
  </w:style>
  <w:style w:type="paragraph" w:styleId="451">
    <w:name w:val="Heading 3"/>
    <w:basedOn w:val="622"/>
    <w:next w:val="622"/>
    <w:link w:val="452"/>
    <w:qFormat/>
    <w:uiPriority w:val="9"/>
    <w:unhideWhenUsed/>
    <w:rPr>
      <w:rFonts w:ascii="Arial" w:hAnsi="Arial" w:cs="Arial" w:eastAsia="Arial"/>
      <w:sz w:val="30"/>
      <w:szCs w:val="30"/>
    </w:rPr>
    <w:pPr>
      <w:keepLines/>
      <w:keepNext/>
      <w:spacing w:after="200" w:before="320"/>
      <w:outlineLvl w:val="2"/>
    </w:pPr>
  </w:style>
  <w:style w:type="character" w:styleId="452">
    <w:name w:val="Heading 3 Char"/>
    <w:link w:val="451"/>
    <w:uiPriority w:val="9"/>
    <w:rPr>
      <w:rFonts w:ascii="Arial" w:hAnsi="Arial" w:cs="Arial" w:eastAsia="Arial"/>
      <w:sz w:val="30"/>
      <w:szCs w:val="30"/>
    </w:rPr>
  </w:style>
  <w:style w:type="paragraph" w:styleId="453">
    <w:name w:val="Heading 4"/>
    <w:basedOn w:val="622"/>
    <w:next w:val="622"/>
    <w:link w:val="454"/>
    <w:qFormat/>
    <w:uiPriority w:val="9"/>
    <w:unhideWhenUsed/>
    <w:rPr>
      <w:rFonts w:ascii="Arial" w:hAnsi="Arial" w:cs="Arial" w:eastAsia="Arial"/>
      <w:b/>
      <w:bCs/>
      <w:sz w:val="26"/>
      <w:szCs w:val="26"/>
    </w:rPr>
    <w:pPr>
      <w:keepLines/>
      <w:keepNext/>
      <w:spacing w:after="200" w:before="320"/>
      <w:outlineLvl w:val="3"/>
    </w:pPr>
  </w:style>
  <w:style w:type="character" w:styleId="454">
    <w:name w:val="Heading 4 Char"/>
    <w:link w:val="453"/>
    <w:uiPriority w:val="9"/>
    <w:rPr>
      <w:rFonts w:ascii="Arial" w:hAnsi="Arial" w:cs="Arial" w:eastAsia="Arial"/>
      <w:b/>
      <w:bCs/>
      <w:sz w:val="26"/>
      <w:szCs w:val="26"/>
    </w:rPr>
  </w:style>
  <w:style w:type="paragraph" w:styleId="455">
    <w:name w:val="Heading 5"/>
    <w:basedOn w:val="622"/>
    <w:next w:val="622"/>
    <w:link w:val="456"/>
    <w:qFormat/>
    <w:uiPriority w:val="9"/>
    <w:unhideWhenUsed/>
    <w:rPr>
      <w:rFonts w:ascii="Arial" w:hAnsi="Arial" w:cs="Arial" w:eastAsia="Arial"/>
      <w:b/>
      <w:bCs/>
      <w:sz w:val="24"/>
      <w:szCs w:val="24"/>
    </w:rPr>
    <w:pPr>
      <w:keepLines/>
      <w:keepNext/>
      <w:spacing w:after="200" w:before="320"/>
      <w:outlineLvl w:val="4"/>
    </w:pPr>
  </w:style>
  <w:style w:type="character" w:styleId="456">
    <w:name w:val="Heading 5 Char"/>
    <w:link w:val="455"/>
    <w:uiPriority w:val="9"/>
    <w:rPr>
      <w:rFonts w:ascii="Arial" w:hAnsi="Arial" w:cs="Arial" w:eastAsia="Arial"/>
      <w:b/>
      <w:bCs/>
      <w:sz w:val="24"/>
      <w:szCs w:val="24"/>
    </w:rPr>
  </w:style>
  <w:style w:type="paragraph" w:styleId="457">
    <w:name w:val="Heading 6"/>
    <w:basedOn w:val="622"/>
    <w:next w:val="622"/>
    <w:link w:val="458"/>
    <w:qFormat/>
    <w:uiPriority w:val="9"/>
    <w:unhideWhenUsed/>
    <w:rPr>
      <w:rFonts w:ascii="Arial" w:hAnsi="Arial" w:cs="Arial" w:eastAsia="Arial"/>
      <w:b/>
      <w:bCs/>
      <w:sz w:val="22"/>
      <w:szCs w:val="22"/>
    </w:rPr>
    <w:pPr>
      <w:keepLines/>
      <w:keepNext/>
      <w:spacing w:after="200" w:before="320"/>
      <w:outlineLvl w:val="5"/>
    </w:pPr>
  </w:style>
  <w:style w:type="character" w:styleId="458">
    <w:name w:val="Heading 6 Char"/>
    <w:link w:val="457"/>
    <w:uiPriority w:val="9"/>
    <w:rPr>
      <w:rFonts w:ascii="Arial" w:hAnsi="Arial" w:cs="Arial" w:eastAsia="Arial"/>
      <w:b/>
      <w:bCs/>
      <w:sz w:val="22"/>
      <w:szCs w:val="22"/>
    </w:rPr>
  </w:style>
  <w:style w:type="paragraph" w:styleId="459">
    <w:name w:val="Heading 7"/>
    <w:basedOn w:val="622"/>
    <w:next w:val="622"/>
    <w:link w:val="460"/>
    <w:qFormat/>
    <w:uiPriority w:val="9"/>
    <w:unhideWhenUsed/>
    <w:rPr>
      <w:rFonts w:ascii="Arial" w:hAnsi="Arial" w:cs="Arial" w:eastAsia="Arial"/>
      <w:b/>
      <w:bCs/>
      <w:i/>
      <w:iCs/>
      <w:sz w:val="22"/>
      <w:szCs w:val="22"/>
    </w:rPr>
    <w:pPr>
      <w:keepLines/>
      <w:keepNext/>
      <w:spacing w:after="200" w:before="320"/>
      <w:outlineLvl w:val="6"/>
    </w:pPr>
  </w:style>
  <w:style w:type="character" w:styleId="460">
    <w:name w:val="Heading 7 Char"/>
    <w:link w:val="459"/>
    <w:uiPriority w:val="9"/>
    <w:rPr>
      <w:rFonts w:ascii="Arial" w:hAnsi="Arial" w:cs="Arial" w:eastAsia="Arial"/>
      <w:b/>
      <w:bCs/>
      <w:i/>
      <w:iCs/>
      <w:sz w:val="22"/>
      <w:szCs w:val="22"/>
    </w:rPr>
  </w:style>
  <w:style w:type="paragraph" w:styleId="461">
    <w:name w:val="Heading 8"/>
    <w:basedOn w:val="622"/>
    <w:next w:val="622"/>
    <w:link w:val="462"/>
    <w:qFormat/>
    <w:uiPriority w:val="9"/>
    <w:unhideWhenUsed/>
    <w:rPr>
      <w:rFonts w:ascii="Arial" w:hAnsi="Arial" w:cs="Arial" w:eastAsia="Arial"/>
      <w:i/>
      <w:iCs/>
      <w:sz w:val="22"/>
      <w:szCs w:val="22"/>
    </w:rPr>
    <w:pPr>
      <w:keepLines/>
      <w:keepNext/>
      <w:spacing w:after="200" w:before="320"/>
      <w:outlineLvl w:val="7"/>
    </w:pPr>
  </w:style>
  <w:style w:type="character" w:styleId="462">
    <w:name w:val="Heading 8 Char"/>
    <w:link w:val="461"/>
    <w:uiPriority w:val="9"/>
    <w:rPr>
      <w:rFonts w:ascii="Arial" w:hAnsi="Arial" w:cs="Arial" w:eastAsia="Arial"/>
      <w:i/>
      <w:iCs/>
      <w:sz w:val="22"/>
      <w:szCs w:val="22"/>
    </w:rPr>
  </w:style>
  <w:style w:type="paragraph" w:styleId="463">
    <w:name w:val="Heading 9"/>
    <w:basedOn w:val="622"/>
    <w:next w:val="622"/>
    <w:link w:val="464"/>
    <w:qFormat/>
    <w:uiPriority w:val="9"/>
    <w:unhideWhenUsed/>
    <w:rPr>
      <w:rFonts w:ascii="Arial" w:hAnsi="Arial" w:cs="Arial" w:eastAsia="Arial"/>
      <w:i/>
      <w:iCs/>
      <w:sz w:val="21"/>
      <w:szCs w:val="21"/>
    </w:rPr>
    <w:pPr>
      <w:keepLines/>
      <w:keepNext/>
      <w:spacing w:after="200" w:before="320"/>
      <w:outlineLvl w:val="8"/>
    </w:pPr>
  </w:style>
  <w:style w:type="character" w:styleId="464">
    <w:name w:val="Heading 9 Char"/>
    <w:link w:val="463"/>
    <w:uiPriority w:val="9"/>
    <w:rPr>
      <w:rFonts w:ascii="Arial" w:hAnsi="Arial" w:cs="Arial" w:eastAsia="Arial"/>
      <w:i/>
      <w:iCs/>
      <w:sz w:val="21"/>
      <w:szCs w:val="21"/>
    </w:rPr>
  </w:style>
  <w:style w:type="paragraph" w:styleId="465">
    <w:name w:val="Title"/>
    <w:basedOn w:val="622"/>
    <w:next w:val="622"/>
    <w:link w:val="466"/>
    <w:qFormat/>
    <w:uiPriority w:val="10"/>
    <w:rPr>
      <w:sz w:val="48"/>
      <w:szCs w:val="48"/>
    </w:rPr>
    <w:pPr>
      <w:contextualSpacing w:val="true"/>
      <w:spacing w:after="200" w:before="300"/>
    </w:pPr>
  </w:style>
  <w:style w:type="character" w:styleId="466">
    <w:name w:val="Title Char"/>
    <w:link w:val="465"/>
    <w:uiPriority w:val="10"/>
    <w:rPr>
      <w:sz w:val="48"/>
      <w:szCs w:val="48"/>
    </w:rPr>
  </w:style>
  <w:style w:type="paragraph" w:styleId="467">
    <w:name w:val="Subtitle"/>
    <w:basedOn w:val="622"/>
    <w:next w:val="622"/>
    <w:link w:val="468"/>
    <w:qFormat/>
    <w:uiPriority w:val="11"/>
    <w:rPr>
      <w:sz w:val="24"/>
      <w:szCs w:val="24"/>
    </w:rPr>
    <w:pPr>
      <w:spacing w:after="200" w:before="200"/>
    </w:pPr>
  </w:style>
  <w:style w:type="character" w:styleId="468">
    <w:name w:val="Subtitle Char"/>
    <w:link w:val="467"/>
    <w:uiPriority w:val="11"/>
    <w:rPr>
      <w:sz w:val="24"/>
      <w:szCs w:val="24"/>
    </w:rPr>
  </w:style>
  <w:style w:type="paragraph" w:styleId="469">
    <w:name w:val="Quote"/>
    <w:basedOn w:val="622"/>
    <w:next w:val="622"/>
    <w:link w:val="470"/>
    <w:qFormat/>
    <w:uiPriority w:val="29"/>
    <w:rPr>
      <w:i/>
    </w:rPr>
    <w:pPr>
      <w:ind w:left="720" w:right="720"/>
    </w:pPr>
  </w:style>
  <w:style w:type="character" w:styleId="470">
    <w:name w:val="Quote Char"/>
    <w:link w:val="469"/>
    <w:uiPriority w:val="29"/>
    <w:rPr>
      <w:i/>
    </w:rPr>
  </w:style>
  <w:style w:type="paragraph" w:styleId="471">
    <w:name w:val="Intense Quote"/>
    <w:basedOn w:val="622"/>
    <w:next w:val="622"/>
    <w:link w:val="472"/>
    <w:qFormat/>
    <w:uiPriority w:val="30"/>
    <w:rPr>
      <w:i/>
    </w:rPr>
    <w:pPr>
      <w:contextualSpacing w:val="false"/>
      <w:ind w:left="720" w:right="720"/>
      <w:shd w:val="clear" w:fill="F2F2F2" w:color="F2F2F2"/>
      <w:pBdr>
        <w:left w:val="single" w:color="FFFFFF" w:sz="4" w:space="10"/>
        <w:top w:val="single" w:color="FFFFFF" w:sz="4" w:space="5"/>
        <w:right w:val="single" w:color="FFFFFF" w:sz="4" w:space="10"/>
        <w:bottom w:val="single" w:color="FFFFFF" w:sz="4" w:space="5"/>
      </w:pBdr>
    </w:pPr>
  </w:style>
  <w:style w:type="character" w:styleId="472">
    <w:name w:val="Intense Quote Char"/>
    <w:link w:val="471"/>
    <w:uiPriority w:val="30"/>
    <w:rPr>
      <w:i/>
    </w:rPr>
  </w:style>
  <w:style w:type="paragraph" w:styleId="473">
    <w:name w:val="Header"/>
    <w:basedOn w:val="622"/>
    <w:link w:val="474"/>
    <w:uiPriority w:val="99"/>
    <w:unhideWhenUsed/>
    <w:pPr>
      <w:spacing w:lineRule="auto" w:line="240" w:after="0"/>
      <w:tabs>
        <w:tab w:val="center" w:pos="7143" w:leader="none"/>
        <w:tab w:val="right" w:pos="14287" w:leader="none"/>
      </w:tabs>
    </w:pPr>
  </w:style>
  <w:style w:type="character" w:styleId="474">
    <w:name w:val="Header Char"/>
    <w:link w:val="473"/>
    <w:uiPriority w:val="99"/>
  </w:style>
  <w:style w:type="paragraph" w:styleId="475">
    <w:name w:val="Footer"/>
    <w:basedOn w:val="622"/>
    <w:link w:val="478"/>
    <w:uiPriority w:val="99"/>
    <w:unhideWhenUsed/>
    <w:pPr>
      <w:spacing w:lineRule="auto" w:line="240" w:after="0"/>
      <w:tabs>
        <w:tab w:val="center" w:pos="7143" w:leader="none"/>
        <w:tab w:val="right" w:pos="14287" w:leader="none"/>
      </w:tabs>
    </w:pPr>
  </w:style>
  <w:style w:type="character" w:styleId="476">
    <w:name w:val="Footer Char"/>
    <w:link w:val="475"/>
    <w:uiPriority w:val="99"/>
  </w:style>
  <w:style w:type="paragraph" w:styleId="477">
    <w:name w:val="Caption"/>
    <w:basedOn w:val="622"/>
    <w:next w:val="622"/>
    <w:qFormat/>
    <w:uiPriority w:val="35"/>
    <w:semiHidden/>
    <w:unhideWhenUsed/>
    <w:rPr>
      <w:b/>
      <w:bCs/>
      <w:color w:val="4F81BD" w:themeColor="accent1"/>
      <w:sz w:val="18"/>
      <w:szCs w:val="18"/>
    </w:rPr>
    <w:pPr>
      <w:spacing w:lineRule="auto" w:line="276"/>
    </w:pPr>
  </w:style>
  <w:style w:type="character" w:styleId="478">
    <w:name w:val="Caption Char"/>
    <w:basedOn w:val="477"/>
    <w:link w:val="475"/>
    <w:uiPriority w:val="99"/>
  </w:style>
  <w:style w:type="table" w:styleId="479">
    <w:name w:val="Table Grid"/>
    <w:basedOn w:val="623"/>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480">
    <w:name w:val="Table Grid Light"/>
    <w:basedOn w:val="62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81">
    <w:name w:val="Plain Table 1"/>
    <w:basedOn w:val="62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fill="FFFFFF" w:color="FFFFFF" w:themeFill="text1" w:themeFillTint="0D"/>
      </w:tcPr>
    </w:tblStylePr>
    <w:tblStylePr w:type="band1Vert">
      <w:tcPr>
        <w:shd w:val="clear" w:fill="FFFFFF" w:color="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82">
    <w:name w:val="Plain Table 2"/>
    <w:basedOn w:val="623"/>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483">
    <w:name w:val="Plain Table 3"/>
    <w:basedOn w:val="62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484">
    <w:name w:val="Plain Table 4"/>
    <w:basedOn w:val="62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485">
    <w:name w:val="Plain Table 5"/>
    <w:basedOn w:val="62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i/>
        <w:color w:val="404040"/>
      </w:rPr>
      <w:pPr>
        <w:jc w:val="right"/>
      </w:pPr>
      <w:tcPr>
        <w:shd w:val="clear" w:fill="FFFFFF" w:color="FFFFFF"/>
        <w:tcBorders>
          <w:right w:val="single" w:color="404040" w:sz="4" w:space="0"/>
        </w:tcBorders>
      </w:tcPr>
    </w:tblStylePr>
    <w:tblStylePr w:type="firstRow">
      <w:rPr>
        <w:i/>
        <w:color w:val="404040"/>
      </w:rPr>
      <w:tcPr>
        <w:shd w:val="clear" w:fill="FFFFFF" w:color="FFFFFF"/>
        <w:tcBorders>
          <w:left w:val="none" w:color="000000" w:sz="4" w:space="0"/>
          <w:right w:val="none" w:color="000000" w:sz="4" w:space="0"/>
          <w:bottom w:val="single" w:color="404040" w:sz="4" w:space="0"/>
        </w:tcBorders>
      </w:tcPr>
    </w:tblStylePr>
    <w:tblStylePr w:type="lastCol">
      <w:rPr>
        <w:i/>
        <w:color w:val="404040"/>
      </w:rPr>
      <w:tcPr>
        <w:shd w:val="clear" w:fill="FFFFFF" w:color="FFFFFF"/>
        <w:tcBorders>
          <w:left w:val="single" w:color="404040" w:sz="4" w:space="0"/>
        </w:tcBorders>
      </w:tcPr>
    </w:tblStylePr>
    <w:tblStylePr w:type="lastRow">
      <w:rPr>
        <w:i/>
        <w:color w:val="404040"/>
      </w:rPr>
      <w:tcPr>
        <w:shd w:val="clear" w:fill="FFFFFF" w:color="FFFFFF"/>
        <w:tcBorders>
          <w:left w:val="none" w:color="000000" w:sz="4" w:space="0"/>
          <w:top w:val="single" w:color="404040" w:sz="4" w:space="0"/>
          <w:right w:val="none" w:color="000000" w:sz="4" w:space="0"/>
        </w:tcBorders>
      </w:tcPr>
    </w:tblStylePr>
  </w:style>
  <w:style w:type="table" w:styleId="486">
    <w:name w:val="Grid Table 1 Light"/>
    <w:basedOn w:val="623"/>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487">
    <w:name w:val="Grid Table 1 Light - Accent 1"/>
    <w:basedOn w:val="62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488">
    <w:name w:val="Grid Table 1 Light - Accent 2"/>
    <w:basedOn w:val="62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489">
    <w:name w:val="Grid Table 1 Light - Accent 3"/>
    <w:basedOn w:val="62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490">
    <w:name w:val="Grid Table 1 Light - Accent 4"/>
    <w:basedOn w:val="62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491">
    <w:name w:val="Grid Table 1 Light - Accent 5"/>
    <w:basedOn w:val="62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492">
    <w:name w:val="Grid Table 1 Light - Accent 6"/>
    <w:basedOn w:val="62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493">
    <w:name w:val="Grid Table 2"/>
    <w:basedOn w:val="62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494">
    <w:name w:val="Grid Table 2 - Accent 1"/>
    <w:basedOn w:val="62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495">
    <w:name w:val="Grid Table 2 - Accent 2"/>
    <w:basedOn w:val="62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496">
    <w:name w:val="Grid Table 2 - Accent 3"/>
    <w:basedOn w:val="62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497">
    <w:name w:val="Grid Table 2 - Accent 4"/>
    <w:basedOn w:val="62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498">
    <w:name w:val="Grid Table 2 - Accent 5"/>
    <w:basedOn w:val="62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5"/>
          <w:right w:val="none" w:color="000000" w:sz="4" w:space="0"/>
          <w:bottom w:val="none" w:color="000000" w:sz="4" w:space="0"/>
        </w:tcBorders>
      </w:tcPr>
    </w:tblStylePr>
  </w:style>
  <w:style w:type="table" w:styleId="499">
    <w:name w:val="Grid Table 2 - Accent 6"/>
    <w:basedOn w:val="62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6"/>
          <w:right w:val="none" w:color="000000" w:sz="4" w:space="0"/>
          <w:bottom w:val="none" w:color="000000" w:sz="4" w:space="0"/>
        </w:tcBorders>
      </w:tcPr>
    </w:tblStylePr>
  </w:style>
  <w:style w:type="table" w:styleId="500">
    <w:name w:val="Grid Table 3"/>
    <w:basedOn w:val="62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01">
    <w:name w:val="Grid Table 3 - Accent 1"/>
    <w:basedOn w:val="62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02">
    <w:name w:val="Grid Table 3 - Accent 2"/>
    <w:basedOn w:val="62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03">
    <w:name w:val="Grid Table 3 - Accent 3"/>
    <w:basedOn w:val="62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04">
    <w:name w:val="Grid Table 3 - Accent 4"/>
    <w:basedOn w:val="62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05">
    <w:name w:val="Grid Table 3 - Accent 5"/>
    <w:basedOn w:val="62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06">
    <w:name w:val="Grid Table 3 - Accent 6"/>
    <w:basedOn w:val="62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07">
    <w:name w:val="Grid Table 4"/>
    <w:basedOn w:val="623"/>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rFonts w:ascii="Arial" w:hAnsi="Arial"/>
        <w:b/>
        <w:color w:val="FFFFFF"/>
        <w:sz w:val="22"/>
      </w:rPr>
      <w:tcPr>
        <w:shd w:val="clear" w:fill="FFFFFF" w:color="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508">
    <w:name w:val="Grid Table 4 - Accent 1"/>
    <w:basedOn w:val="623"/>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32"/>
      </w:tcPr>
    </w:tblStylePr>
    <w:tblStylePr w:type="band1Vert">
      <w:rPr>
        <w:rFonts w:ascii="Arial" w:hAnsi="Arial"/>
        <w:color w:val="404040"/>
        <w:sz w:val="22"/>
      </w:rPr>
      <w:tcPr>
        <w:shd w:val="clear" w:fill="FFFFFF" w:color="FFFFFF" w:themeFill="accent1" w:themeFillTint="32"/>
      </w:tcPr>
    </w:tblStylePr>
    <w:tblStylePr w:type="firstCol">
      <w:rPr>
        <w:b/>
        <w:color w:val="404040"/>
      </w:rPr>
    </w:tblStylePr>
    <w:tblStylePr w:type="firstRow">
      <w:rPr>
        <w:rFonts w:ascii="Arial" w:hAnsi="Arial"/>
        <w:b/>
        <w:color w:val="FFFFFF"/>
        <w:sz w:val="22"/>
      </w:rPr>
      <w:tcPr>
        <w:shd w:val="clear" w:fill="FFFFFF" w:color="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509">
    <w:name w:val="Grid Table 4 - Accent 2"/>
    <w:basedOn w:val="623"/>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rFonts w:ascii="Arial" w:hAnsi="Arial"/>
        <w:b/>
        <w:color w:val="FFFFFF"/>
        <w:sz w:val="22"/>
      </w:rPr>
      <w:tcPr>
        <w:shd w:val="clear" w:fill="FFFFFF" w:color="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510">
    <w:name w:val="Grid Table 4 - Accent 3"/>
    <w:basedOn w:val="623"/>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rFonts w:ascii="Arial" w:hAnsi="Arial"/>
        <w:b/>
        <w:color w:val="FFFFFF"/>
        <w:sz w:val="22"/>
      </w:rPr>
      <w:tcPr>
        <w:shd w:val="clear" w:fill="FFFFFF" w:color="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511">
    <w:name w:val="Grid Table 4 - Accent 4"/>
    <w:basedOn w:val="623"/>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rFonts w:ascii="Arial" w:hAnsi="Arial"/>
        <w:b/>
        <w:color w:val="FFFFFF"/>
        <w:sz w:val="22"/>
      </w:rPr>
      <w:tcPr>
        <w:shd w:val="clear" w:fill="FFFFFF" w:color="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512">
    <w:name w:val="Grid Table 4 - Accent 5"/>
    <w:basedOn w:val="623"/>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rFonts w:ascii="Arial" w:hAnsi="Arial"/>
        <w:b/>
        <w:color w:val="FFFFFF"/>
        <w:sz w:val="22"/>
      </w:rPr>
      <w:tcPr>
        <w:shd w:val="clear" w:fill="FFFFFF" w:color="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513">
    <w:name w:val="Grid Table 4 - Accent 6"/>
    <w:basedOn w:val="623"/>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rFonts w:ascii="Arial" w:hAnsi="Arial"/>
        <w:b/>
        <w:color w:val="FFFFFF"/>
        <w:sz w:val="22"/>
      </w:rPr>
      <w:tcPr>
        <w:shd w:val="clear" w:fill="FFFFFF" w:color="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514">
    <w:name w:val="Grid Table 5 Dark"/>
    <w:basedOn w:val="6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text1" w:themeFillTint="40"/>
    </w:tblPr>
    <w:tblStylePr w:type="band1Horz">
      <w:tcPr>
        <w:shd w:val="clear" w:fill="FFFFFF" w:color="FFFFFF" w:themeFill="text1" w:themeFillTint="75"/>
      </w:tcPr>
    </w:tblStylePr>
    <w:tblStylePr w:type="band1Vert">
      <w:tcPr>
        <w:shd w:val="clear" w:fill="FFFFFF" w:color="FFFFFF" w:themeFill="text1" w:themeFillTint="75"/>
      </w:tcPr>
    </w:tblStylePr>
    <w:tblStylePr w:type="firstCol">
      <w:rPr>
        <w:rFonts w:ascii="Arial" w:hAnsi="Arial"/>
        <w:b/>
        <w:color w:val="FFFFFF"/>
        <w:sz w:val="22"/>
      </w:rPr>
      <w:tcPr>
        <w:shd w:val="clear" w:fill="FFFFFF" w:color="FFFFFF" w:themeFill="text1"/>
      </w:tcPr>
    </w:tblStylePr>
    <w:tblStylePr w:type="firstRow">
      <w:rPr>
        <w:rFonts w:ascii="Arial" w:hAnsi="Arial"/>
        <w:b/>
        <w:color w:val="FFFFFF"/>
        <w:sz w:val="22"/>
      </w:rPr>
      <w:tcPr>
        <w:shd w:val="clear" w:fill="FFFFFF" w:color="FFFFFF" w:themeFill="text1"/>
      </w:tcPr>
    </w:tblStylePr>
    <w:tblStylePr w:type="lastCol">
      <w:rPr>
        <w:rFonts w:ascii="Arial" w:hAnsi="Arial"/>
        <w:b/>
        <w:color w:val="FFFFFF"/>
        <w:sz w:val="22"/>
      </w:rPr>
      <w:tcPr>
        <w:shd w:val="clear" w:fill="FFFFFF" w:color="FFFFFF" w:themeFill="text1"/>
      </w:tcPr>
    </w:tblStylePr>
    <w:tblStylePr w:type="lastRow">
      <w:rPr>
        <w:rFonts w:ascii="Arial" w:hAnsi="Arial"/>
        <w:b/>
        <w:color w:val="FFFFFF"/>
        <w:sz w:val="22"/>
      </w:rPr>
      <w:tcPr>
        <w:shd w:val="clear" w:fill="FFFFFF" w:color="FFFFFF" w:themeFill="text1"/>
        <w:tcBorders>
          <w:top w:val="single" w:color="000000" w:sz="4" w:space="0" w:themeColor="light1"/>
        </w:tcBorders>
      </w:tcPr>
    </w:tblStylePr>
  </w:style>
  <w:style w:type="table" w:styleId="515">
    <w:name w:val="Grid Table 5 Dark- Accent 1"/>
    <w:basedOn w:val="6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1" w:themeFillTint="34"/>
    </w:tblPr>
    <w:tblStylePr w:type="band1Horz">
      <w:tcPr>
        <w:shd w:val="clear" w:fill="FFFFFF" w:color="FFFFFF" w:themeFill="accent1" w:themeFillTint="75"/>
      </w:tcPr>
    </w:tblStylePr>
    <w:tblStylePr w:type="band1Vert">
      <w:tcPr>
        <w:shd w:val="clear" w:fill="FFFFFF" w:color="FFFFFF" w:themeFill="accent1" w:themeFillTint="75"/>
      </w:tcPr>
    </w:tblStylePr>
    <w:tblStylePr w:type="firstCol">
      <w:rPr>
        <w:rFonts w:ascii="Arial" w:hAnsi="Arial"/>
        <w:b/>
        <w:color w:val="FFFFFF"/>
        <w:sz w:val="22"/>
      </w:rPr>
      <w:tcPr>
        <w:shd w:val="clear" w:fill="FFFFFF" w:color="FFFFFF" w:themeFill="accent1"/>
      </w:tcPr>
    </w:tblStylePr>
    <w:tblStylePr w:type="firstRow">
      <w:rPr>
        <w:rFonts w:ascii="Arial" w:hAnsi="Arial"/>
        <w:b/>
        <w:color w:val="FFFFFF"/>
        <w:sz w:val="22"/>
      </w:rPr>
      <w:tcPr>
        <w:shd w:val="clear" w:fill="FFFFFF" w:color="FFFFFF" w:themeFill="accent1"/>
      </w:tcPr>
    </w:tblStylePr>
    <w:tblStylePr w:type="lastCol">
      <w:rPr>
        <w:rFonts w:ascii="Arial" w:hAnsi="Arial"/>
        <w:b/>
        <w:color w:val="FFFFFF"/>
        <w:sz w:val="22"/>
      </w:rPr>
      <w:tcPr>
        <w:shd w:val="clear" w:fill="FFFFFF" w:color="FFFFFF" w:themeFill="accent1"/>
      </w:tcPr>
    </w:tblStylePr>
    <w:tblStylePr w:type="lastRow">
      <w:rPr>
        <w:rFonts w:ascii="Arial" w:hAnsi="Arial"/>
        <w:b/>
        <w:color w:val="FFFFFF"/>
        <w:sz w:val="22"/>
      </w:rPr>
      <w:tcPr>
        <w:shd w:val="clear" w:fill="FFFFFF" w:color="FFFFFF" w:themeFill="accent1"/>
        <w:tcBorders>
          <w:top w:val="single" w:color="000000" w:sz="4" w:space="0" w:themeColor="light1"/>
        </w:tcBorders>
      </w:tcPr>
    </w:tblStylePr>
  </w:style>
  <w:style w:type="table" w:styleId="516">
    <w:name w:val="Grid Table 5 Dark - Accent 2"/>
    <w:basedOn w:val="6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2" w:themeFillTint="32"/>
    </w:tblPr>
    <w:tblStylePr w:type="band1Horz">
      <w:tcPr>
        <w:shd w:val="clear" w:fill="FFFFFF" w:color="FFFFFF" w:themeFill="accent2" w:themeFillTint="75"/>
      </w:tcPr>
    </w:tblStylePr>
    <w:tblStylePr w:type="band1Vert">
      <w:tcPr>
        <w:shd w:val="clear" w:fill="FFFFFF" w:color="FFFFFF" w:themeFill="accent2" w:themeFillTint="75"/>
      </w:tcPr>
    </w:tblStylePr>
    <w:tblStylePr w:type="firstCol">
      <w:rPr>
        <w:rFonts w:ascii="Arial" w:hAnsi="Arial"/>
        <w:b/>
        <w:color w:val="FFFFFF"/>
        <w:sz w:val="22"/>
      </w:rPr>
      <w:tcPr>
        <w:shd w:val="clear" w:fill="FFFFFF" w:color="FFFFFF" w:themeFill="accent2"/>
      </w:tcPr>
    </w:tblStylePr>
    <w:tblStylePr w:type="firstRow">
      <w:rPr>
        <w:rFonts w:ascii="Arial" w:hAnsi="Arial"/>
        <w:b/>
        <w:color w:val="FFFFFF"/>
        <w:sz w:val="22"/>
      </w:rPr>
      <w:tcPr>
        <w:shd w:val="clear" w:fill="FFFFFF" w:color="FFFFFF" w:themeFill="accent2"/>
      </w:tcPr>
    </w:tblStylePr>
    <w:tblStylePr w:type="lastCol">
      <w:rPr>
        <w:rFonts w:ascii="Arial" w:hAnsi="Arial"/>
        <w:b/>
        <w:color w:val="FFFFFF"/>
        <w:sz w:val="22"/>
      </w:rPr>
      <w:tcPr>
        <w:shd w:val="clear" w:fill="FFFFFF" w:color="FFFFFF" w:themeFill="accent2"/>
      </w:tcPr>
    </w:tblStylePr>
    <w:tblStylePr w:type="lastRow">
      <w:rPr>
        <w:rFonts w:ascii="Arial" w:hAnsi="Arial"/>
        <w:b/>
        <w:color w:val="FFFFFF"/>
        <w:sz w:val="22"/>
      </w:rPr>
      <w:tcPr>
        <w:shd w:val="clear" w:fill="FFFFFF" w:color="FFFFFF" w:themeFill="accent2"/>
        <w:tcBorders>
          <w:top w:val="single" w:color="000000" w:sz="4" w:space="0" w:themeColor="light1"/>
        </w:tcBorders>
      </w:tcPr>
    </w:tblStylePr>
  </w:style>
  <w:style w:type="table" w:styleId="517">
    <w:name w:val="Grid Table 5 Dark - Accent 3"/>
    <w:basedOn w:val="6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3" w:themeFillTint="34"/>
    </w:tblPr>
    <w:tblStylePr w:type="band1Horz">
      <w:tcPr>
        <w:shd w:val="clear" w:fill="FFFFFF" w:color="FFFFFF" w:themeFill="accent3" w:themeFillTint="75"/>
      </w:tcPr>
    </w:tblStylePr>
    <w:tblStylePr w:type="band1Vert">
      <w:tcPr>
        <w:shd w:val="clear" w:fill="FFFFFF" w:color="FFFFFF" w:themeFill="accent3" w:themeFillTint="75"/>
      </w:tcPr>
    </w:tblStylePr>
    <w:tblStylePr w:type="firstCol">
      <w:rPr>
        <w:rFonts w:ascii="Arial" w:hAnsi="Arial"/>
        <w:b/>
        <w:color w:val="FFFFFF"/>
        <w:sz w:val="22"/>
      </w:rPr>
      <w:tcPr>
        <w:shd w:val="clear" w:fill="FFFFFF" w:color="FFFFFF" w:themeFill="accent3"/>
      </w:tcPr>
    </w:tblStylePr>
    <w:tblStylePr w:type="firstRow">
      <w:rPr>
        <w:rFonts w:ascii="Arial" w:hAnsi="Arial"/>
        <w:b/>
        <w:color w:val="FFFFFF"/>
        <w:sz w:val="22"/>
      </w:rPr>
      <w:tcPr>
        <w:shd w:val="clear" w:fill="FFFFFF" w:color="FFFFFF" w:themeFill="accent3"/>
      </w:tcPr>
    </w:tblStylePr>
    <w:tblStylePr w:type="lastCol">
      <w:rPr>
        <w:rFonts w:ascii="Arial" w:hAnsi="Arial"/>
        <w:b/>
        <w:color w:val="FFFFFF"/>
        <w:sz w:val="22"/>
      </w:rPr>
      <w:tcPr>
        <w:shd w:val="clear" w:fill="FFFFFF" w:color="FFFFFF" w:themeFill="accent3"/>
      </w:tcPr>
    </w:tblStylePr>
    <w:tblStylePr w:type="lastRow">
      <w:rPr>
        <w:rFonts w:ascii="Arial" w:hAnsi="Arial"/>
        <w:b/>
        <w:color w:val="FFFFFF"/>
        <w:sz w:val="22"/>
      </w:rPr>
      <w:tcPr>
        <w:shd w:val="clear" w:fill="FFFFFF" w:color="FFFFFF" w:themeFill="accent3"/>
        <w:tcBorders>
          <w:top w:val="single" w:color="000000" w:sz="4" w:space="0" w:themeColor="light1"/>
        </w:tcBorders>
      </w:tcPr>
    </w:tblStylePr>
  </w:style>
  <w:style w:type="table" w:styleId="518">
    <w:name w:val="Grid Table 5 Dark- Accent 4"/>
    <w:basedOn w:val="6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4" w:themeFillTint="34"/>
    </w:tblPr>
    <w:tblStylePr w:type="band1Horz">
      <w:tcPr>
        <w:shd w:val="clear" w:fill="FFFFFF" w:color="FFFFFF" w:themeFill="accent4" w:themeFillTint="75"/>
      </w:tcPr>
    </w:tblStylePr>
    <w:tblStylePr w:type="band1Vert">
      <w:tcPr>
        <w:shd w:val="clear" w:fill="FFFFFF" w:color="FFFFFF" w:themeFill="accent4" w:themeFillTint="75"/>
      </w:tcPr>
    </w:tblStylePr>
    <w:tblStylePr w:type="firstCol">
      <w:rPr>
        <w:rFonts w:ascii="Arial" w:hAnsi="Arial"/>
        <w:b/>
        <w:color w:val="FFFFFF"/>
        <w:sz w:val="22"/>
      </w:rPr>
      <w:tcPr>
        <w:shd w:val="clear" w:fill="FFFFFF" w:color="FFFFFF" w:themeFill="accent4"/>
      </w:tcPr>
    </w:tblStylePr>
    <w:tblStylePr w:type="firstRow">
      <w:rPr>
        <w:rFonts w:ascii="Arial" w:hAnsi="Arial"/>
        <w:b/>
        <w:color w:val="FFFFFF"/>
        <w:sz w:val="22"/>
      </w:rPr>
      <w:tcPr>
        <w:shd w:val="clear" w:fill="FFFFFF" w:color="FFFFFF" w:themeFill="accent4"/>
      </w:tcPr>
    </w:tblStylePr>
    <w:tblStylePr w:type="lastCol">
      <w:rPr>
        <w:rFonts w:ascii="Arial" w:hAnsi="Arial"/>
        <w:b/>
        <w:color w:val="FFFFFF"/>
        <w:sz w:val="22"/>
      </w:rPr>
      <w:tcPr>
        <w:shd w:val="clear" w:fill="FFFFFF" w:color="FFFFFF" w:themeFill="accent4"/>
      </w:tcPr>
    </w:tblStylePr>
    <w:tblStylePr w:type="lastRow">
      <w:rPr>
        <w:rFonts w:ascii="Arial" w:hAnsi="Arial"/>
        <w:b/>
        <w:color w:val="FFFFFF"/>
        <w:sz w:val="22"/>
      </w:rPr>
      <w:tcPr>
        <w:shd w:val="clear" w:fill="FFFFFF" w:color="FFFFFF" w:themeFill="accent4"/>
        <w:tcBorders>
          <w:top w:val="single" w:color="000000" w:sz="4" w:space="0" w:themeColor="light1"/>
        </w:tcBorders>
      </w:tcPr>
    </w:tblStylePr>
  </w:style>
  <w:style w:type="table" w:styleId="519">
    <w:name w:val="Grid Table 5 Dark - Accent 5"/>
    <w:basedOn w:val="6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5" w:themeFillTint="34"/>
    </w:tblPr>
    <w:tblStylePr w:type="band1Horz">
      <w:tcPr>
        <w:shd w:val="clear" w:fill="FFFFFF" w:color="FFFFFF" w:themeFill="accent5" w:themeFillTint="75"/>
      </w:tcPr>
    </w:tblStylePr>
    <w:tblStylePr w:type="band1Vert">
      <w:tcPr>
        <w:shd w:val="clear" w:fill="FFFFFF" w:color="FFFFFF" w:themeFill="accent5" w:themeFillTint="75"/>
      </w:tcPr>
    </w:tblStylePr>
    <w:tblStylePr w:type="firstCol">
      <w:rPr>
        <w:rFonts w:ascii="Arial" w:hAnsi="Arial"/>
        <w:b/>
        <w:color w:val="FFFFFF"/>
        <w:sz w:val="22"/>
      </w:rPr>
      <w:tcPr>
        <w:shd w:val="clear" w:fill="FFFFFF" w:color="FFFFFF" w:themeFill="accent5"/>
      </w:tcPr>
    </w:tblStylePr>
    <w:tblStylePr w:type="firstRow">
      <w:rPr>
        <w:rFonts w:ascii="Arial" w:hAnsi="Arial"/>
        <w:b/>
        <w:color w:val="FFFFFF"/>
        <w:sz w:val="22"/>
      </w:rPr>
      <w:tcPr>
        <w:shd w:val="clear" w:fill="FFFFFF" w:color="FFFFFF" w:themeFill="accent5"/>
      </w:tcPr>
    </w:tblStylePr>
    <w:tblStylePr w:type="lastCol">
      <w:rPr>
        <w:rFonts w:ascii="Arial" w:hAnsi="Arial"/>
        <w:b/>
        <w:color w:val="FFFFFF"/>
        <w:sz w:val="22"/>
      </w:rPr>
      <w:tcPr>
        <w:shd w:val="clear" w:fill="FFFFFF" w:color="FFFFFF" w:themeFill="accent5"/>
      </w:tcPr>
    </w:tblStylePr>
    <w:tblStylePr w:type="lastRow">
      <w:rPr>
        <w:rFonts w:ascii="Arial" w:hAnsi="Arial"/>
        <w:b/>
        <w:color w:val="FFFFFF"/>
        <w:sz w:val="22"/>
      </w:rPr>
      <w:tcPr>
        <w:shd w:val="clear" w:fill="FFFFFF" w:color="FFFFFF" w:themeFill="accent5"/>
        <w:tcBorders>
          <w:top w:val="single" w:color="000000" w:sz="4" w:space="0" w:themeColor="light1"/>
        </w:tcBorders>
      </w:tcPr>
    </w:tblStylePr>
  </w:style>
  <w:style w:type="table" w:styleId="520">
    <w:name w:val="Grid Table 5 Dark - Accent 6"/>
    <w:basedOn w:val="6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6" w:themeFillTint="34"/>
    </w:tblPr>
    <w:tblStylePr w:type="band1Horz">
      <w:tcPr>
        <w:shd w:val="clear" w:fill="FFFFFF" w:color="FFFFFF" w:themeFill="accent6" w:themeFillTint="75"/>
      </w:tcPr>
    </w:tblStylePr>
    <w:tblStylePr w:type="band1Vert">
      <w:tcPr>
        <w:shd w:val="clear" w:fill="FFFFFF" w:color="FFFFFF" w:themeFill="accent6" w:themeFillTint="75"/>
      </w:tcPr>
    </w:tblStylePr>
    <w:tblStylePr w:type="firstCol">
      <w:rPr>
        <w:rFonts w:ascii="Arial" w:hAnsi="Arial"/>
        <w:b/>
        <w:color w:val="FFFFFF"/>
        <w:sz w:val="22"/>
      </w:rPr>
      <w:tcPr>
        <w:shd w:val="clear" w:fill="FFFFFF" w:color="FFFFFF" w:themeFill="accent6"/>
      </w:tcPr>
    </w:tblStylePr>
    <w:tblStylePr w:type="firstRow">
      <w:rPr>
        <w:rFonts w:ascii="Arial" w:hAnsi="Arial"/>
        <w:b/>
        <w:color w:val="FFFFFF"/>
        <w:sz w:val="22"/>
      </w:rPr>
      <w:tcPr>
        <w:shd w:val="clear" w:fill="FFFFFF" w:color="FFFFFF" w:themeFill="accent6"/>
      </w:tcPr>
    </w:tblStylePr>
    <w:tblStylePr w:type="lastCol">
      <w:rPr>
        <w:rFonts w:ascii="Arial" w:hAnsi="Arial"/>
        <w:b/>
        <w:color w:val="FFFFFF"/>
        <w:sz w:val="22"/>
      </w:rPr>
      <w:tcPr>
        <w:shd w:val="clear" w:fill="FFFFFF" w:color="FFFFFF" w:themeFill="accent6"/>
      </w:tcPr>
    </w:tblStylePr>
    <w:tblStylePr w:type="lastRow">
      <w:rPr>
        <w:rFonts w:ascii="Arial" w:hAnsi="Arial"/>
        <w:b/>
        <w:color w:val="FFFFFF"/>
        <w:sz w:val="22"/>
      </w:rPr>
      <w:tcPr>
        <w:shd w:val="clear" w:fill="FFFFFF" w:color="FFFFFF" w:themeFill="accent6"/>
        <w:tcBorders>
          <w:top w:val="single" w:color="000000" w:sz="4" w:space="0" w:themeColor="light1"/>
        </w:tcBorders>
      </w:tcPr>
    </w:tblStylePr>
  </w:style>
  <w:style w:type="table" w:styleId="521">
    <w:name w:val="Grid Table 6 Colorful"/>
    <w:basedOn w:val="623"/>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fill="FFFFFF" w:color="FFFFFF" w:themeFill="text1" w:themeFillTint="34"/>
      </w:tcPr>
    </w:tblStylePr>
    <w:tblStylePr w:type="band1Vert">
      <w:tcPr>
        <w:shd w:val="clear" w:fill="FFFFFF" w:color="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522">
    <w:name w:val="Grid Table 6 Colorful - Accent 1"/>
    <w:basedOn w:val="623"/>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523">
    <w:name w:val="Grid Table 6 Colorful - Accent 2"/>
    <w:basedOn w:val="62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524">
    <w:name w:val="Grid Table 6 Colorful - Accent 3"/>
    <w:basedOn w:val="623"/>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525">
    <w:name w:val="Grid Table 6 Colorful - Accent 4"/>
    <w:basedOn w:val="62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526">
    <w:name w:val="Grid Table 6 Colorful - Accent 5"/>
    <w:basedOn w:val="623"/>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527">
    <w:name w:val="Grid Table 6 Colorful - Accent 6"/>
    <w:basedOn w:val="623"/>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528">
    <w:name w:val="Grid Table 7 Colorful"/>
    <w:basedOn w:val="623"/>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0D"/>
      </w:tcPr>
    </w:tblStylePr>
    <w:tblStylePr w:type="band1Vert">
      <w:tcPr>
        <w:shd w:val="clear" w:fill="FFFFFF" w:color="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style>
  <w:style w:type="table" w:styleId="529">
    <w:name w:val="Grid Table 7 Colorful - Accent 1"/>
    <w:basedOn w:val="623"/>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fill="FFFFFF"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fill="FFFFFF"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fill="FFFFFF" w:color="FFFFFF" w:themeFill="light1"/>
        <w:tcBorders>
          <w:left w:val="none" w:color="000000" w:sz="4" w:space="0"/>
          <w:top w:val="single" w:color="000000" w:sz="4" w:space="0" w:themeColor="accent1" w:themeTint="80"/>
          <w:right w:val="none" w:color="000000" w:sz="4" w:space="0"/>
          <w:bottom w:val="none" w:color="000000" w:sz="4" w:space="0"/>
        </w:tcBorders>
      </w:tcPr>
    </w:tblStylePr>
  </w:style>
  <w:style w:type="table" w:styleId="530">
    <w:name w:val="Grid Table 7 Colorful - Accent 2"/>
    <w:basedOn w:val="623"/>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style>
  <w:style w:type="table" w:styleId="531">
    <w:name w:val="Grid Table 7 Colorful - Accent 3"/>
    <w:basedOn w:val="623"/>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fill="FFFFFF"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fill="FFFFFF"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fill="FFFFFF" w:color="FFFFFF" w:themeFill="light1"/>
        <w:tcBorders>
          <w:left w:val="none" w:color="000000" w:sz="4" w:space="0"/>
          <w:top w:val="single" w:color="000000" w:sz="4" w:space="0" w:themeColor="accent3" w:themeTint="FE"/>
          <w:right w:val="none" w:color="000000" w:sz="4" w:space="0"/>
          <w:bottom w:val="none" w:color="000000" w:sz="4" w:space="0"/>
        </w:tcBorders>
      </w:tcPr>
    </w:tblStylePr>
  </w:style>
  <w:style w:type="table" w:styleId="532">
    <w:name w:val="Grid Table 7 Colorful - Accent 4"/>
    <w:basedOn w:val="623"/>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style>
  <w:style w:type="table" w:styleId="533">
    <w:name w:val="Grid Table 7 Colorful - Accent 5"/>
    <w:basedOn w:val="623"/>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fill="FFFFFF"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fill="FFFFFF"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fill="FFFFFF" w:color="FFFFFF" w:themeFill="light1"/>
        <w:tcBorders>
          <w:left w:val="none" w:color="000000" w:sz="4" w:space="0"/>
          <w:top w:val="single" w:color="000000" w:sz="4" w:space="0" w:themeColor="accent5" w:themeTint="90"/>
          <w:right w:val="none" w:color="000000" w:sz="4" w:space="0"/>
          <w:bottom w:val="none" w:color="000000" w:sz="4" w:space="0"/>
        </w:tcBorders>
      </w:tcPr>
    </w:tblStylePr>
  </w:style>
  <w:style w:type="table" w:styleId="534">
    <w:name w:val="Grid Table 7 Colorful - Accent 6"/>
    <w:basedOn w:val="623"/>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fill="FFFFFF"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fill="FFFFFF"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fill="FFFFFF" w:color="FFFFFF" w:themeFill="light1"/>
        <w:tcBorders>
          <w:left w:val="none" w:color="000000" w:sz="4" w:space="0"/>
          <w:top w:val="single" w:color="000000" w:sz="4" w:space="0" w:themeColor="accent6" w:themeTint="90"/>
          <w:right w:val="none" w:color="000000" w:sz="4" w:space="0"/>
          <w:bottom w:val="none" w:color="000000" w:sz="4" w:space="0"/>
        </w:tcBorders>
      </w:tcPr>
    </w:tblStylePr>
  </w:style>
  <w:style w:type="table" w:styleId="535">
    <w:name w:val="List Table 1 Light"/>
    <w:basedOn w:val="623"/>
    <w:uiPriority w:val="99"/>
    <w:pPr>
      <w:spacing w:lineRule="auto" w:line="240" w:after="0"/>
    </w:pPr>
    <w:tblPr>
      <w:tblStyleRowBandSize w:val="1"/>
      <w:tblStyleColBandSize w:val="1"/>
      <w:tblInd w:w="0" w:type="dxa"/>
    </w:tblPr>
    <w:tblStylePr w:type="band1Horz">
      <w:tcPr>
        <w:shd w:val="clear" w:fill="FFFFFF" w:color="FFFFFF" w:themeFill="text1" w:themeFillTint="40"/>
      </w:tcPr>
    </w:tblStylePr>
    <w:tblStylePr w:type="band1Vert">
      <w:tcPr>
        <w:shd w:val="clear" w:fill="FFFFFF" w:color="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536">
    <w:name w:val="List Table 1 Light - Accent 1"/>
    <w:basedOn w:val="623"/>
    <w:uiPriority w:val="99"/>
    <w:pPr>
      <w:spacing w:lineRule="auto" w:line="240" w:after="0"/>
    </w:pPr>
    <w:tblPr>
      <w:tblStyleRowBandSize w:val="1"/>
      <w:tblStyleColBandSize w:val="1"/>
      <w:tblInd w:w="0" w:type="dxa"/>
    </w:tblPr>
    <w:tblStylePr w:type="band1Horz">
      <w:tcPr>
        <w:shd w:val="clear" w:fill="FFFFFF" w:color="FFFFFF" w:themeFill="accent1" w:themeFillTint="40"/>
      </w:tcPr>
    </w:tblStylePr>
    <w:tblStylePr w:type="band1Vert">
      <w:tcPr>
        <w:shd w:val="clear" w:fill="FFFFFF" w:color="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537">
    <w:name w:val="List Table 1 Light - Accent 2"/>
    <w:basedOn w:val="623"/>
    <w:uiPriority w:val="99"/>
    <w:pPr>
      <w:spacing w:lineRule="auto" w:line="240" w:after="0"/>
    </w:pPr>
    <w:tblPr>
      <w:tblStyleRowBandSize w:val="1"/>
      <w:tblStyleColBandSize w:val="1"/>
      <w:tblInd w:w="0" w:type="dxa"/>
    </w:tblPr>
    <w:tblStylePr w:type="band1Horz">
      <w:tcPr>
        <w:shd w:val="clear" w:fill="FFFFFF" w:color="FFFFFF" w:themeFill="accent2" w:themeFillTint="40"/>
      </w:tcPr>
    </w:tblStylePr>
    <w:tblStylePr w:type="band1Vert">
      <w:tcPr>
        <w:shd w:val="clear" w:fill="FFFFFF" w:color="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538">
    <w:name w:val="List Table 1 Light - Accent 3"/>
    <w:basedOn w:val="623"/>
    <w:uiPriority w:val="99"/>
    <w:pPr>
      <w:spacing w:lineRule="auto" w:line="240" w:after="0"/>
    </w:pPr>
    <w:tblPr>
      <w:tblStyleRowBandSize w:val="1"/>
      <w:tblStyleColBandSize w:val="1"/>
      <w:tblInd w:w="0" w:type="dxa"/>
    </w:tblPr>
    <w:tblStylePr w:type="band1Horz">
      <w:tcPr>
        <w:shd w:val="clear" w:fill="FFFFFF" w:color="FFFFFF" w:themeFill="accent3" w:themeFillTint="40"/>
      </w:tcPr>
    </w:tblStylePr>
    <w:tblStylePr w:type="band1Vert">
      <w:tcPr>
        <w:shd w:val="clear" w:fill="FFFFFF" w:color="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539">
    <w:name w:val="List Table 1 Light - Accent 4"/>
    <w:basedOn w:val="623"/>
    <w:uiPriority w:val="99"/>
    <w:pPr>
      <w:spacing w:lineRule="auto" w:line="240" w:after="0"/>
    </w:pPr>
    <w:tblPr>
      <w:tblStyleRowBandSize w:val="1"/>
      <w:tblStyleColBandSize w:val="1"/>
      <w:tblInd w:w="0" w:type="dxa"/>
    </w:tblPr>
    <w:tblStylePr w:type="band1Horz">
      <w:tcPr>
        <w:shd w:val="clear" w:fill="FFFFFF" w:color="FFFFFF" w:themeFill="accent4" w:themeFillTint="40"/>
      </w:tcPr>
    </w:tblStylePr>
    <w:tblStylePr w:type="band1Vert">
      <w:tcPr>
        <w:shd w:val="clear" w:fill="FFFFFF" w:color="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540">
    <w:name w:val="List Table 1 Light - Accent 5"/>
    <w:basedOn w:val="623"/>
    <w:uiPriority w:val="99"/>
    <w:pPr>
      <w:spacing w:lineRule="auto" w:line="240" w:after="0"/>
    </w:pPr>
    <w:tblPr>
      <w:tblStyleRowBandSize w:val="1"/>
      <w:tblStyleColBandSize w:val="1"/>
      <w:tblInd w:w="0" w:type="dxa"/>
    </w:tblPr>
    <w:tblStylePr w:type="band1Horz">
      <w:tcPr>
        <w:shd w:val="clear" w:fill="FFFFFF" w:color="FFFFFF" w:themeFill="accent5" w:themeFillTint="40"/>
      </w:tcPr>
    </w:tblStylePr>
    <w:tblStylePr w:type="band1Vert">
      <w:tcPr>
        <w:shd w:val="clear" w:fill="FFFFFF" w:color="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541">
    <w:name w:val="List Table 1 Light - Accent 6"/>
    <w:basedOn w:val="623"/>
    <w:uiPriority w:val="99"/>
    <w:pPr>
      <w:spacing w:lineRule="auto" w:line="240" w:after="0"/>
    </w:pPr>
    <w:tblPr>
      <w:tblStyleRowBandSize w:val="1"/>
      <w:tblStyleColBandSize w:val="1"/>
      <w:tblInd w:w="0" w:type="dxa"/>
    </w:tblPr>
    <w:tblStylePr w:type="band1Horz">
      <w:tcPr>
        <w:shd w:val="clear" w:fill="FFFFFF" w:color="FFFFFF" w:themeFill="accent6" w:themeFillTint="40"/>
      </w:tcPr>
    </w:tblStylePr>
    <w:tblStylePr w:type="band1Vert">
      <w:tcPr>
        <w:shd w:val="clear" w:fill="FFFFFF" w:color="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542">
    <w:name w:val="List Table 2"/>
    <w:basedOn w:val="623"/>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543">
    <w:name w:val="List Table 2 - Accent 1"/>
    <w:basedOn w:val="623"/>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544">
    <w:name w:val="List Table 2 - Accent 2"/>
    <w:basedOn w:val="623"/>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545">
    <w:name w:val="List Table 2 - Accent 3"/>
    <w:basedOn w:val="623"/>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546">
    <w:name w:val="List Table 2 - Accent 4"/>
    <w:basedOn w:val="623"/>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547">
    <w:name w:val="List Table 2 - Accent 5"/>
    <w:basedOn w:val="623"/>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548">
    <w:name w:val="List Table 2 - Accent 6"/>
    <w:basedOn w:val="623"/>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549">
    <w:name w:val="List Table 3"/>
    <w:basedOn w:val="62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550">
    <w:name w:val="List Table 3 - Accent 1"/>
    <w:basedOn w:val="623"/>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551">
    <w:name w:val="List Table 3 - Accent 2"/>
    <w:basedOn w:val="62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fill="FFFFFF" w:color="FFFFFF" w:themeFill="accent2" w:themeFillTint="97"/>
      </w:tcPr>
    </w:tblStylePr>
    <w:tblStylePr w:type="lastCol">
      <w:rPr>
        <w:b/>
        <w:color w:val="404040"/>
      </w:rPr>
    </w:tblStylePr>
    <w:tblStylePr w:type="lastRow">
      <w:rPr>
        <w:b/>
        <w:color w:val="404040"/>
      </w:rPr>
    </w:tblStylePr>
  </w:style>
  <w:style w:type="table" w:styleId="552">
    <w:name w:val="List Table 3 - Accent 3"/>
    <w:basedOn w:val="623"/>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fill="FFFFFF" w:color="FFFFFF" w:themeFill="accent3" w:themeFillTint="98"/>
      </w:tcPr>
    </w:tblStylePr>
    <w:tblStylePr w:type="lastCol">
      <w:rPr>
        <w:b/>
        <w:color w:val="404040"/>
      </w:rPr>
    </w:tblStylePr>
    <w:tblStylePr w:type="lastRow">
      <w:rPr>
        <w:b/>
        <w:color w:val="404040"/>
      </w:rPr>
    </w:tblStylePr>
  </w:style>
  <w:style w:type="table" w:styleId="553">
    <w:name w:val="List Table 3 - Accent 4"/>
    <w:basedOn w:val="62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fill="FFFFFF" w:color="FFFFFF" w:themeFill="accent4" w:themeFillTint="9A"/>
      </w:tcPr>
    </w:tblStylePr>
    <w:tblStylePr w:type="lastCol">
      <w:rPr>
        <w:b/>
        <w:color w:val="404040"/>
      </w:rPr>
    </w:tblStylePr>
    <w:tblStylePr w:type="lastRow">
      <w:rPr>
        <w:b/>
        <w:color w:val="404040"/>
      </w:rPr>
    </w:tblStylePr>
  </w:style>
  <w:style w:type="table" w:styleId="554">
    <w:name w:val="List Table 3 - Accent 5"/>
    <w:basedOn w:val="623"/>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fill="FFFFFF" w:color="FFFFFF" w:themeFill="accent5" w:themeFillTint="9A"/>
      </w:tcPr>
    </w:tblStylePr>
    <w:tblStylePr w:type="lastCol">
      <w:rPr>
        <w:b/>
        <w:color w:val="404040"/>
      </w:rPr>
    </w:tblStylePr>
    <w:tblStylePr w:type="lastRow">
      <w:rPr>
        <w:b/>
        <w:color w:val="404040"/>
      </w:rPr>
    </w:tblStylePr>
  </w:style>
  <w:style w:type="table" w:styleId="555">
    <w:name w:val="List Table 3 - Accent 6"/>
    <w:basedOn w:val="623"/>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fill="FFFFFF" w:color="FFFFFF" w:themeFill="accent6" w:themeFillTint="98"/>
      </w:tcPr>
    </w:tblStylePr>
    <w:tblStylePr w:type="lastCol">
      <w:rPr>
        <w:b/>
        <w:color w:val="404040"/>
      </w:rPr>
    </w:tblStylePr>
    <w:tblStylePr w:type="lastRow">
      <w:rPr>
        <w:b/>
        <w:color w:val="404040"/>
      </w:rPr>
    </w:tblStylePr>
  </w:style>
  <w:style w:type="table" w:styleId="556">
    <w:name w:val="List Table 4"/>
    <w:basedOn w:val="62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557">
    <w:name w:val="List Table 4 - Accent 1"/>
    <w:basedOn w:val="623"/>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558">
    <w:name w:val="List Table 4 - Accent 2"/>
    <w:basedOn w:val="623"/>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b/>
        <w:color w:val="404040"/>
      </w:rPr>
    </w:tblStylePr>
    <w:tblStylePr w:type="firstRow">
      <w:rPr>
        <w:rFonts w:ascii="Arial" w:hAnsi="Arial"/>
        <w:b/>
        <w:color w:val="FFFFFF"/>
        <w:sz w:val="22"/>
      </w:rPr>
      <w:tcPr>
        <w:shd w:val="clear" w:fill="FFFFFF" w:color="FFFFFF" w:themeFill="accent2"/>
      </w:tcPr>
    </w:tblStylePr>
    <w:tblStylePr w:type="lastCol">
      <w:rPr>
        <w:b/>
        <w:color w:val="404040"/>
      </w:rPr>
    </w:tblStylePr>
    <w:tblStylePr w:type="lastRow">
      <w:rPr>
        <w:b/>
        <w:color w:val="404040"/>
      </w:rPr>
    </w:tblStylePr>
  </w:style>
  <w:style w:type="table" w:styleId="559">
    <w:name w:val="List Table 4 - Accent 3"/>
    <w:basedOn w:val="623"/>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b/>
        <w:color w:val="404040"/>
      </w:rPr>
    </w:tblStylePr>
    <w:tblStylePr w:type="firstRow">
      <w:rPr>
        <w:rFonts w:ascii="Arial" w:hAnsi="Arial"/>
        <w:b/>
        <w:color w:val="FFFFFF"/>
        <w:sz w:val="22"/>
      </w:rPr>
      <w:tcPr>
        <w:shd w:val="clear" w:fill="FFFFFF" w:color="FFFFFF" w:themeFill="accent3"/>
      </w:tcPr>
    </w:tblStylePr>
    <w:tblStylePr w:type="lastCol">
      <w:rPr>
        <w:b/>
        <w:color w:val="404040"/>
      </w:rPr>
    </w:tblStylePr>
    <w:tblStylePr w:type="lastRow">
      <w:rPr>
        <w:b/>
        <w:color w:val="404040"/>
      </w:rPr>
    </w:tblStylePr>
  </w:style>
  <w:style w:type="table" w:styleId="560">
    <w:name w:val="List Table 4 - Accent 4"/>
    <w:basedOn w:val="623"/>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b/>
        <w:color w:val="404040"/>
      </w:rPr>
    </w:tblStylePr>
    <w:tblStylePr w:type="firstRow">
      <w:rPr>
        <w:rFonts w:ascii="Arial" w:hAnsi="Arial"/>
        <w:b/>
        <w:color w:val="FFFFFF"/>
        <w:sz w:val="22"/>
      </w:rPr>
      <w:tcPr>
        <w:shd w:val="clear" w:fill="FFFFFF" w:color="FFFFFF" w:themeFill="accent4"/>
      </w:tcPr>
    </w:tblStylePr>
    <w:tblStylePr w:type="lastCol">
      <w:rPr>
        <w:b/>
        <w:color w:val="404040"/>
      </w:rPr>
    </w:tblStylePr>
    <w:tblStylePr w:type="lastRow">
      <w:rPr>
        <w:b/>
        <w:color w:val="404040"/>
      </w:rPr>
    </w:tblStylePr>
  </w:style>
  <w:style w:type="table" w:styleId="561">
    <w:name w:val="List Table 4 - Accent 5"/>
    <w:basedOn w:val="623"/>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b/>
        <w:color w:val="404040"/>
      </w:rPr>
    </w:tblStylePr>
    <w:tblStylePr w:type="firstRow">
      <w:rPr>
        <w:rFonts w:ascii="Arial" w:hAnsi="Arial"/>
        <w:b/>
        <w:color w:val="FFFFFF"/>
        <w:sz w:val="22"/>
      </w:rPr>
      <w:tcPr>
        <w:shd w:val="clear" w:fill="FFFFFF" w:color="FFFFFF" w:themeFill="accent5"/>
      </w:tcPr>
    </w:tblStylePr>
    <w:tblStylePr w:type="lastCol">
      <w:rPr>
        <w:b/>
        <w:color w:val="404040"/>
      </w:rPr>
    </w:tblStylePr>
    <w:tblStylePr w:type="lastRow">
      <w:rPr>
        <w:b/>
        <w:color w:val="404040"/>
      </w:rPr>
    </w:tblStylePr>
  </w:style>
  <w:style w:type="table" w:styleId="562">
    <w:name w:val="List Table 4 - Accent 6"/>
    <w:basedOn w:val="623"/>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b/>
        <w:color w:val="404040"/>
      </w:rPr>
    </w:tblStylePr>
    <w:tblStylePr w:type="firstRow">
      <w:rPr>
        <w:rFonts w:ascii="Arial" w:hAnsi="Arial"/>
        <w:b/>
        <w:color w:val="FFFFFF"/>
        <w:sz w:val="22"/>
      </w:rPr>
      <w:tcPr>
        <w:shd w:val="clear" w:fill="FFFFFF" w:color="FFFFFF" w:themeFill="accent6"/>
      </w:tcPr>
    </w:tblStylePr>
    <w:tblStylePr w:type="lastCol">
      <w:rPr>
        <w:b/>
        <w:color w:val="404040"/>
      </w:rPr>
    </w:tblStylePr>
    <w:tblStylePr w:type="lastRow">
      <w:rPr>
        <w:b/>
        <w:color w:val="404040"/>
      </w:rPr>
    </w:tblStylePr>
  </w:style>
  <w:style w:type="table" w:styleId="563">
    <w:name w:val="List Table 5 Dark"/>
    <w:basedOn w:val="623"/>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fill="FFFFFF" w:color="FFFFFF" w:themeFill="text1" w:themeFillTint="80"/>
    </w:tblPr>
    <w:tblStylePr w:type="band1Horz">
      <w:tcPr>
        <w:shd w:val="clear" w:fill="FFFFFF" w:color="FFFFFF" w:themeFill="text1" w:themeFillTint="80"/>
        <w:tcBorders>
          <w:top w:val="single" w:color="000000" w:sz="4" w:space="0" w:themeColor="light1"/>
          <w:bottom w:val="single" w:color="000000" w:sz="4" w:space="0" w:themeColor="light1"/>
        </w:tcBorders>
      </w:tcPr>
    </w:tblStylePr>
    <w:tblStylePr w:type="band1Vert">
      <w:tcPr>
        <w:shd w:val="clear" w:fill="FFFFFF" w:color="FFFFFF" w:themeFill="text1" w:themeFillTint="80"/>
        <w:tcBorders>
          <w:left w:val="single" w:color="000000" w:sz="4" w:space="0" w:themeColor="light1"/>
          <w:right w:val="single" w:color="000000" w:sz="4" w:space="0" w:themeColor="light1"/>
        </w:tcBorders>
      </w:tcPr>
    </w:tblStylePr>
    <w:tblStylePr w:type="band2Horz">
      <w:tcPr>
        <w:shd w:val="clear" w:fill="FFFFFF" w:color="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fill="FFFFFF" w:color="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64">
    <w:name w:val="List Table 5 Dark - Accent 1"/>
    <w:basedOn w:val="623"/>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fill="FFFFFF" w:color="FFFFFF" w:themeFill="accent1"/>
    </w:tblPr>
    <w:tblStylePr w:type="band1Horz">
      <w:tcPr>
        <w:shd w:val="clear" w:fill="FFFFFF" w:color="FFFFFF" w:themeFill="accent1"/>
        <w:tcBorders>
          <w:top w:val="single" w:color="000000" w:sz="4" w:space="0" w:themeColor="light1"/>
          <w:bottom w:val="single" w:color="000000" w:sz="4" w:space="0" w:themeColor="light1"/>
        </w:tcBorders>
      </w:tcPr>
    </w:tblStylePr>
    <w:tblStylePr w:type="band1Vert">
      <w:tcPr>
        <w:shd w:val="clear" w:fill="FFFFFF" w:color="FFFFFF" w:themeFill="accent1"/>
        <w:tcBorders>
          <w:left w:val="single" w:color="000000" w:sz="4" w:space="0" w:themeColor="light1"/>
          <w:right w:val="single" w:color="000000" w:sz="4" w:space="0" w:themeColor="light1"/>
        </w:tcBorders>
      </w:tcPr>
    </w:tblStylePr>
    <w:tblStylePr w:type="band2Horz">
      <w:tcPr>
        <w:shd w:val="clear" w:fill="FFFFFF" w:color="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fill="FFFFFF" w:color="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65">
    <w:name w:val="List Table 5 Dark - Accent 2"/>
    <w:basedOn w:val="623"/>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fill="FFFFFF" w:color="FFFFFF" w:themeFill="accent2" w:themeFillTint="97"/>
    </w:tblPr>
    <w:tblStylePr w:type="band1Horz">
      <w:tcPr>
        <w:shd w:val="clear" w:fill="FFFFFF" w:color="FFFFFF" w:themeFill="accent2" w:themeFillTint="97"/>
        <w:tcBorders>
          <w:top w:val="single" w:color="000000" w:sz="4" w:space="0" w:themeColor="light1"/>
          <w:bottom w:val="single" w:color="000000" w:sz="4" w:space="0" w:themeColor="light1"/>
        </w:tcBorders>
      </w:tcPr>
    </w:tblStylePr>
    <w:tblStylePr w:type="band1Vert">
      <w:tcPr>
        <w:shd w:val="clear" w:fill="FFFFFF" w:color="FFFFFF" w:themeFill="accent2" w:themeFillTint="97"/>
        <w:tcBorders>
          <w:left w:val="single" w:color="000000" w:sz="4" w:space="0" w:themeColor="light1"/>
          <w:right w:val="single" w:color="000000" w:sz="4" w:space="0" w:themeColor="light1"/>
        </w:tcBorders>
      </w:tcPr>
    </w:tblStylePr>
    <w:tblStylePr w:type="band2Horz">
      <w:tcPr>
        <w:shd w:val="clear" w:fill="FFFFFF" w:color="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fill="FFFFFF" w:color="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66">
    <w:name w:val="List Table 5 Dark - Accent 3"/>
    <w:basedOn w:val="623"/>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fill="FFFFFF" w:color="FFFFFF" w:themeFill="accent3" w:themeFillTint="98"/>
    </w:tblPr>
    <w:tblStylePr w:type="band1Horz">
      <w:tcPr>
        <w:shd w:val="clear" w:fill="FFFFFF" w:color="FFFFFF" w:themeFill="accent3" w:themeFillTint="98"/>
        <w:tcBorders>
          <w:top w:val="single" w:color="000000" w:sz="4" w:space="0" w:themeColor="light1"/>
          <w:bottom w:val="single" w:color="000000" w:sz="4" w:space="0" w:themeColor="light1"/>
        </w:tcBorders>
      </w:tcPr>
    </w:tblStylePr>
    <w:tblStylePr w:type="band1Vert">
      <w:tcPr>
        <w:shd w:val="clear" w:fill="FFFFFF" w:color="FFFFFF" w:themeFill="accent3" w:themeFillTint="98"/>
        <w:tcBorders>
          <w:left w:val="single" w:color="000000" w:sz="4" w:space="0" w:themeColor="light1"/>
          <w:right w:val="single" w:color="000000" w:sz="4" w:space="0" w:themeColor="light1"/>
        </w:tcBorders>
      </w:tcPr>
    </w:tblStylePr>
    <w:tblStylePr w:type="band2Horz">
      <w:tcPr>
        <w:shd w:val="clear" w:fill="FFFFFF" w:color="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67">
    <w:name w:val="List Table 5 Dark - Accent 4"/>
    <w:basedOn w:val="623"/>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fill="FFFFFF" w:color="FFFFFF" w:themeFill="accent4" w:themeFillTint="9A"/>
    </w:tblPr>
    <w:tblStylePr w:type="band1Horz">
      <w:tcPr>
        <w:shd w:val="clear" w:fill="FFFFFF" w:color="FFFFFF" w:themeFill="accent4" w:themeFillTint="9A"/>
        <w:tcBorders>
          <w:top w:val="single" w:color="000000" w:sz="4" w:space="0" w:themeColor="light1"/>
          <w:bottom w:val="single" w:color="000000" w:sz="4" w:space="0" w:themeColor="light1"/>
        </w:tcBorders>
      </w:tcPr>
    </w:tblStylePr>
    <w:tblStylePr w:type="band1Vert">
      <w:tcPr>
        <w:shd w:val="clear" w:fill="FFFFFF" w:color="FFFFFF" w:themeFill="accent4" w:themeFillTint="9A"/>
        <w:tcBorders>
          <w:left w:val="single" w:color="000000" w:sz="4" w:space="0" w:themeColor="light1"/>
          <w:right w:val="single" w:color="000000" w:sz="4" w:space="0" w:themeColor="light1"/>
        </w:tcBorders>
      </w:tcPr>
    </w:tblStylePr>
    <w:tblStylePr w:type="band2Horz">
      <w:tcPr>
        <w:shd w:val="clear" w:fill="FFFFFF" w:color="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68">
    <w:name w:val="List Table 5 Dark - Accent 5"/>
    <w:basedOn w:val="623"/>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fill="FFFFFF" w:color="FFFFFF" w:themeFill="accent5" w:themeFillTint="9A"/>
    </w:tblPr>
    <w:tblStylePr w:type="band1Horz">
      <w:tcPr>
        <w:shd w:val="clear" w:fill="FFFFFF" w:color="FFFFFF" w:themeFill="accent5" w:themeFillTint="9A"/>
        <w:tcBorders>
          <w:top w:val="single" w:color="000000" w:sz="4" w:space="0" w:themeColor="light1"/>
          <w:bottom w:val="single" w:color="000000" w:sz="4" w:space="0" w:themeColor="light1"/>
        </w:tcBorders>
      </w:tcPr>
    </w:tblStylePr>
    <w:tblStylePr w:type="band1Vert">
      <w:tcPr>
        <w:shd w:val="clear" w:fill="FFFFFF" w:color="FFFFFF" w:themeFill="accent5" w:themeFillTint="9A"/>
        <w:tcBorders>
          <w:left w:val="single" w:color="000000" w:sz="4" w:space="0" w:themeColor="light1"/>
          <w:right w:val="single" w:color="000000" w:sz="4" w:space="0" w:themeColor="light1"/>
        </w:tcBorders>
      </w:tcPr>
    </w:tblStylePr>
    <w:tblStylePr w:type="band2Horz">
      <w:tcPr>
        <w:shd w:val="clear" w:fill="FFFFFF" w:color="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69">
    <w:name w:val="List Table 5 Dark - Accent 6"/>
    <w:basedOn w:val="623"/>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fill="FFFFFF" w:color="FFFFFF" w:themeFill="accent6" w:themeFillTint="98"/>
    </w:tblPr>
    <w:tblStylePr w:type="band1Horz">
      <w:tcPr>
        <w:shd w:val="clear" w:fill="FFFFFF" w:color="FFFFFF" w:themeFill="accent6" w:themeFillTint="98"/>
        <w:tcBorders>
          <w:top w:val="single" w:color="000000" w:sz="4" w:space="0" w:themeColor="light1"/>
          <w:bottom w:val="single" w:color="000000" w:sz="4" w:space="0" w:themeColor="light1"/>
        </w:tcBorders>
      </w:tcPr>
    </w:tblStylePr>
    <w:tblStylePr w:type="band1Vert">
      <w:tcPr>
        <w:shd w:val="clear" w:fill="FFFFFF" w:color="FFFFFF" w:themeFill="accent6" w:themeFillTint="98"/>
        <w:tcBorders>
          <w:left w:val="single" w:color="000000" w:sz="4" w:space="0" w:themeColor="light1"/>
          <w:right w:val="single" w:color="000000" w:sz="4" w:space="0" w:themeColor="light1"/>
        </w:tcBorders>
      </w:tcPr>
    </w:tblStylePr>
    <w:tblStylePr w:type="band2Horz">
      <w:tcPr>
        <w:shd w:val="clear" w:fill="FFFFFF" w:color="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70">
    <w:name w:val="List Table 6 Colorful"/>
    <w:basedOn w:val="623"/>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571">
    <w:name w:val="List Table 6 Colorful - Accent 1"/>
    <w:basedOn w:val="623"/>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572">
    <w:name w:val="List Table 6 Colorful - Accent 2"/>
    <w:basedOn w:val="623"/>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573">
    <w:name w:val="List Table 6 Colorful - Accent 3"/>
    <w:basedOn w:val="623"/>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574">
    <w:name w:val="List Table 6 Colorful - Accent 4"/>
    <w:basedOn w:val="623"/>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575">
    <w:name w:val="List Table 6 Colorful - Accent 5"/>
    <w:basedOn w:val="623"/>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576">
    <w:name w:val="List Table 6 Colorful - Accent 6"/>
    <w:basedOn w:val="623"/>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577">
    <w:name w:val="List Table 7 Colorful"/>
    <w:basedOn w:val="623"/>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578">
    <w:name w:val="List Table 7 Colorful - Accent 1"/>
    <w:basedOn w:val="623"/>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fill="FFFFFF"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fill="FFFFFF"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fill="FFFFFF" w:color="FFFFFF" w:themeFill="light1"/>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579">
    <w:name w:val="List Table 7 Colorful - Accent 2"/>
    <w:basedOn w:val="623"/>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580">
    <w:name w:val="List Table 7 Colorful - Accent 3"/>
    <w:basedOn w:val="623"/>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fill="FFFFFF"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fill="FFFFFF"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fill="FFFFFF" w:color="FFFFFF" w:themeFill="light1"/>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581">
    <w:name w:val="List Table 7 Colorful - Accent 4"/>
    <w:basedOn w:val="623"/>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582">
    <w:name w:val="List Table 7 Colorful - Accent 5"/>
    <w:basedOn w:val="623"/>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fill="FFFFFF"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fill="FFFFFF"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fill="FFFFFF" w:color="FFFFFF" w:themeFill="light1"/>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583">
    <w:name w:val="List Table 7 Colorful - Accent 6"/>
    <w:basedOn w:val="623"/>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fill="FFFFFF"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fill="FFFFFF"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fill="FFFFFF" w:color="FFFFFF" w:themeFill="light1"/>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584">
    <w:name w:val="Lined - Accent"/>
    <w:basedOn w:val="6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table" w:styleId="585">
    <w:name w:val="Lined - Accent 1"/>
    <w:basedOn w:val="6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1" w:themeFillTint="50"/>
      </w:tcPr>
    </w:tblStylePr>
    <w:tblStylePr w:type="band2Vert">
      <w:rPr>
        <w:rFonts w:ascii="Arial" w:hAnsi="Arial"/>
        <w:color w:val="404040"/>
        <w:sz w:val="22"/>
      </w:rPr>
      <w:tcPr>
        <w:shd w:val="clear" w:fill="FFFFFF" w:color="FFFFFF" w:themeFill="accent1" w:themeFillTint="50"/>
      </w:tcPr>
    </w:tblStylePr>
    <w:tblStylePr w:type="firstCol">
      <w:rPr>
        <w:rFonts w:ascii="Arial" w:hAnsi="Arial"/>
        <w:color w:val="F2F2F2"/>
        <w:sz w:val="22"/>
      </w:rPr>
      <w:tcPr>
        <w:shd w:val="clear" w:fill="FFFFFF" w:color="FFFFFF" w:themeFill="accent1" w:themeFillTint="EA"/>
      </w:tcPr>
    </w:tblStylePr>
    <w:tblStylePr w:type="firstRow">
      <w:rPr>
        <w:rFonts w:ascii="Arial" w:hAnsi="Arial"/>
        <w:color w:val="F2F2F2"/>
        <w:sz w:val="22"/>
      </w:rPr>
      <w:tcPr>
        <w:shd w:val="clear" w:fill="FFFFFF" w:color="FFFFFF" w:themeFill="accent1" w:themeFillTint="EA"/>
      </w:tcPr>
    </w:tblStylePr>
    <w:tblStylePr w:type="lastCol">
      <w:rPr>
        <w:rFonts w:ascii="Arial" w:hAnsi="Arial"/>
        <w:color w:val="F2F2F2"/>
        <w:sz w:val="22"/>
      </w:rPr>
      <w:tcPr>
        <w:shd w:val="clear" w:fill="FFFFFF" w:color="FFFFFF" w:themeFill="accent1" w:themeFillTint="EA"/>
      </w:tcPr>
    </w:tblStylePr>
    <w:tblStylePr w:type="lastRow">
      <w:rPr>
        <w:rFonts w:ascii="Arial" w:hAnsi="Arial"/>
        <w:color w:val="F2F2F2"/>
        <w:sz w:val="22"/>
      </w:rPr>
      <w:tcPr>
        <w:shd w:val="clear" w:fill="FFFFFF" w:color="FFFFFF" w:themeFill="accent1" w:themeFillTint="EA"/>
      </w:tcPr>
    </w:tblStylePr>
  </w:style>
  <w:style w:type="table" w:styleId="586">
    <w:name w:val="Lined - Accent 2"/>
    <w:basedOn w:val="6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2" w:themeFillTint="32"/>
      </w:tcPr>
    </w:tblStylePr>
    <w:tblStylePr w:type="band2Vert">
      <w:rPr>
        <w:rFonts w:ascii="Arial" w:hAnsi="Arial"/>
        <w:color w:val="404040"/>
        <w:sz w:val="22"/>
      </w:rPr>
      <w:tcPr>
        <w:shd w:val="clear" w:fill="FFFFFF" w:color="FFFFFF" w:themeFill="accent2" w:themeFillTint="32"/>
      </w:tcPr>
    </w:tblStylePr>
    <w:tblStylePr w:type="firstCol">
      <w:rPr>
        <w:rFonts w:ascii="Arial" w:hAnsi="Arial"/>
        <w:color w:val="F2F2F2"/>
        <w:sz w:val="22"/>
      </w:rPr>
      <w:tcPr>
        <w:shd w:val="clear" w:fill="FFFFFF" w:color="FFFFFF" w:themeFill="accent2" w:themeFillTint="97"/>
      </w:tcPr>
    </w:tblStylePr>
    <w:tblStylePr w:type="firstRow">
      <w:rPr>
        <w:rFonts w:ascii="Arial" w:hAnsi="Arial"/>
        <w:color w:val="F2F2F2"/>
        <w:sz w:val="22"/>
      </w:rPr>
      <w:tcPr>
        <w:shd w:val="clear" w:fill="FFFFFF" w:color="FFFFFF" w:themeFill="accent2" w:themeFillTint="97"/>
      </w:tcPr>
    </w:tblStylePr>
    <w:tblStylePr w:type="lastCol">
      <w:rPr>
        <w:rFonts w:ascii="Arial" w:hAnsi="Arial"/>
        <w:color w:val="F2F2F2"/>
        <w:sz w:val="22"/>
      </w:rPr>
      <w:tcPr>
        <w:shd w:val="clear" w:fill="FFFFFF" w:color="FFFFFF" w:themeFill="accent2" w:themeFillTint="97"/>
      </w:tcPr>
    </w:tblStylePr>
    <w:tblStylePr w:type="lastRow">
      <w:rPr>
        <w:rFonts w:ascii="Arial" w:hAnsi="Arial"/>
        <w:color w:val="F2F2F2"/>
        <w:sz w:val="22"/>
      </w:rPr>
      <w:tcPr>
        <w:shd w:val="clear" w:fill="FFFFFF" w:color="FFFFFF" w:themeFill="accent2" w:themeFillTint="97"/>
      </w:tcPr>
    </w:tblStylePr>
  </w:style>
  <w:style w:type="table" w:styleId="587">
    <w:name w:val="Lined - Accent 3"/>
    <w:basedOn w:val="6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3" w:themeFillTint="34"/>
      </w:tcPr>
    </w:tblStylePr>
    <w:tblStylePr w:type="band2Vert">
      <w:rPr>
        <w:rFonts w:ascii="Arial" w:hAnsi="Arial"/>
        <w:color w:val="404040"/>
        <w:sz w:val="22"/>
      </w:rPr>
      <w:tcPr>
        <w:shd w:val="clear" w:fill="FFFFFF" w:color="FFFFFF" w:themeFill="accent3" w:themeFillTint="34"/>
      </w:tcPr>
    </w:tblStylePr>
    <w:tblStylePr w:type="firstCol">
      <w:rPr>
        <w:rFonts w:ascii="Arial" w:hAnsi="Arial"/>
        <w:color w:val="F2F2F2"/>
        <w:sz w:val="22"/>
      </w:rPr>
      <w:tcPr>
        <w:shd w:val="clear" w:fill="FFFFFF" w:color="FFFFFF" w:themeFill="accent3" w:themeFillTint="FE"/>
      </w:tcPr>
    </w:tblStylePr>
    <w:tblStylePr w:type="firstRow">
      <w:rPr>
        <w:rFonts w:ascii="Arial" w:hAnsi="Arial"/>
        <w:color w:val="F2F2F2"/>
        <w:sz w:val="22"/>
      </w:rPr>
      <w:tcPr>
        <w:shd w:val="clear" w:fill="FFFFFF" w:color="FFFFFF" w:themeFill="accent3" w:themeFillTint="FE"/>
      </w:tcPr>
    </w:tblStylePr>
    <w:tblStylePr w:type="lastCol">
      <w:rPr>
        <w:rFonts w:ascii="Arial" w:hAnsi="Arial"/>
        <w:color w:val="F2F2F2"/>
        <w:sz w:val="22"/>
      </w:rPr>
      <w:tcPr>
        <w:shd w:val="clear" w:fill="FFFFFF" w:color="FFFFFF" w:themeFill="accent3" w:themeFillTint="FE"/>
      </w:tcPr>
    </w:tblStylePr>
    <w:tblStylePr w:type="lastRow">
      <w:rPr>
        <w:rFonts w:ascii="Arial" w:hAnsi="Arial"/>
        <w:color w:val="F2F2F2"/>
        <w:sz w:val="22"/>
      </w:rPr>
      <w:tcPr>
        <w:shd w:val="clear" w:fill="FFFFFF" w:color="FFFFFF" w:themeFill="accent3" w:themeFillTint="FE"/>
      </w:tcPr>
    </w:tblStylePr>
  </w:style>
  <w:style w:type="table" w:styleId="588">
    <w:name w:val="Lined - Accent 4"/>
    <w:basedOn w:val="6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4" w:themeFillTint="34"/>
      </w:tcPr>
    </w:tblStylePr>
    <w:tblStylePr w:type="band2Vert">
      <w:rPr>
        <w:rFonts w:ascii="Arial" w:hAnsi="Arial"/>
        <w:color w:val="404040"/>
        <w:sz w:val="22"/>
      </w:rPr>
      <w:tcPr>
        <w:shd w:val="clear" w:fill="FFFFFF" w:color="FFFFFF" w:themeFill="accent4" w:themeFillTint="34"/>
      </w:tcPr>
    </w:tblStylePr>
    <w:tblStylePr w:type="firstCol">
      <w:rPr>
        <w:rFonts w:ascii="Arial" w:hAnsi="Arial"/>
        <w:color w:val="F2F2F2"/>
        <w:sz w:val="22"/>
      </w:rPr>
      <w:tcPr>
        <w:shd w:val="clear" w:fill="FFFFFF" w:color="FFFFFF" w:themeFill="accent4" w:themeFillTint="9A"/>
      </w:tcPr>
    </w:tblStylePr>
    <w:tblStylePr w:type="firstRow">
      <w:rPr>
        <w:rFonts w:ascii="Arial" w:hAnsi="Arial"/>
        <w:color w:val="F2F2F2"/>
        <w:sz w:val="22"/>
      </w:rPr>
      <w:tcPr>
        <w:shd w:val="clear" w:fill="FFFFFF" w:color="FFFFFF" w:themeFill="accent4" w:themeFillTint="9A"/>
      </w:tcPr>
    </w:tblStylePr>
    <w:tblStylePr w:type="lastCol">
      <w:rPr>
        <w:rFonts w:ascii="Arial" w:hAnsi="Arial"/>
        <w:color w:val="F2F2F2"/>
        <w:sz w:val="22"/>
      </w:rPr>
      <w:tcPr>
        <w:shd w:val="clear" w:fill="FFFFFF" w:color="FFFFFF" w:themeFill="accent4" w:themeFillTint="9A"/>
      </w:tcPr>
    </w:tblStylePr>
    <w:tblStylePr w:type="lastRow">
      <w:rPr>
        <w:rFonts w:ascii="Arial" w:hAnsi="Arial"/>
        <w:color w:val="F2F2F2"/>
        <w:sz w:val="22"/>
      </w:rPr>
      <w:tcPr>
        <w:shd w:val="clear" w:fill="FFFFFF" w:color="FFFFFF" w:themeFill="accent4" w:themeFillTint="9A"/>
      </w:tcPr>
    </w:tblStylePr>
  </w:style>
  <w:style w:type="table" w:styleId="589">
    <w:name w:val="Lined - Accent 5"/>
    <w:basedOn w:val="6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5" w:themeFillTint="34"/>
      </w:tcPr>
    </w:tblStylePr>
    <w:tblStylePr w:type="band2Vert">
      <w:rPr>
        <w:rFonts w:ascii="Arial" w:hAnsi="Arial"/>
        <w:color w:val="404040"/>
        <w:sz w:val="22"/>
      </w:rPr>
      <w:tcPr>
        <w:shd w:val="clear" w:fill="FFFFFF" w:color="FFFFFF" w:themeFill="accent5" w:themeFillTint="34"/>
      </w:tcPr>
    </w:tblStylePr>
    <w:tblStylePr w:type="firstCol">
      <w:rPr>
        <w:rFonts w:ascii="Arial" w:hAnsi="Arial"/>
        <w:color w:val="F2F2F2"/>
        <w:sz w:val="22"/>
      </w:rPr>
      <w:tcPr>
        <w:shd w:val="clear" w:fill="FFFFFF" w:color="FFFFFF" w:themeFill="accent5"/>
      </w:tcPr>
    </w:tblStylePr>
    <w:tblStylePr w:type="firstRow">
      <w:rPr>
        <w:rFonts w:ascii="Arial" w:hAnsi="Arial"/>
        <w:color w:val="F2F2F2"/>
        <w:sz w:val="22"/>
      </w:rPr>
      <w:tcPr>
        <w:shd w:val="clear" w:fill="FFFFFF" w:color="FFFFFF" w:themeFill="accent5"/>
      </w:tcPr>
    </w:tblStylePr>
    <w:tblStylePr w:type="lastCol">
      <w:rPr>
        <w:rFonts w:ascii="Arial" w:hAnsi="Arial"/>
        <w:color w:val="F2F2F2"/>
        <w:sz w:val="22"/>
      </w:rPr>
      <w:tcPr>
        <w:shd w:val="clear" w:fill="FFFFFF" w:color="FFFFFF" w:themeFill="accent5"/>
      </w:tcPr>
    </w:tblStylePr>
    <w:tblStylePr w:type="lastRow">
      <w:rPr>
        <w:rFonts w:ascii="Arial" w:hAnsi="Arial"/>
        <w:color w:val="F2F2F2"/>
        <w:sz w:val="22"/>
      </w:rPr>
      <w:tcPr>
        <w:shd w:val="clear" w:fill="FFFFFF" w:color="FFFFFF" w:themeFill="accent5"/>
      </w:tcPr>
    </w:tblStylePr>
  </w:style>
  <w:style w:type="table" w:styleId="590">
    <w:name w:val="Lined - Accent 6"/>
    <w:basedOn w:val="6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6" w:themeFillTint="34"/>
      </w:tcPr>
    </w:tblStylePr>
    <w:tblStylePr w:type="band2Vert">
      <w:rPr>
        <w:rFonts w:ascii="Arial" w:hAnsi="Arial"/>
        <w:color w:val="404040"/>
        <w:sz w:val="22"/>
      </w:rPr>
      <w:tcPr>
        <w:shd w:val="clear" w:fill="FFFFFF" w:color="FFFFFF" w:themeFill="accent6" w:themeFillTint="34"/>
      </w:tcPr>
    </w:tblStylePr>
    <w:tblStylePr w:type="firstCol">
      <w:rPr>
        <w:rFonts w:ascii="Arial" w:hAnsi="Arial"/>
        <w:color w:val="F2F2F2"/>
        <w:sz w:val="22"/>
      </w:rPr>
      <w:tcPr>
        <w:shd w:val="clear" w:fill="FFFFFF" w:color="FFFFFF" w:themeFill="accent6"/>
      </w:tcPr>
    </w:tblStylePr>
    <w:tblStylePr w:type="firstRow">
      <w:rPr>
        <w:rFonts w:ascii="Arial" w:hAnsi="Arial"/>
        <w:color w:val="F2F2F2"/>
        <w:sz w:val="22"/>
      </w:rPr>
      <w:tcPr>
        <w:shd w:val="clear" w:fill="FFFFFF" w:color="FFFFFF" w:themeFill="accent6"/>
      </w:tcPr>
    </w:tblStylePr>
    <w:tblStylePr w:type="lastCol">
      <w:rPr>
        <w:rFonts w:ascii="Arial" w:hAnsi="Arial"/>
        <w:color w:val="F2F2F2"/>
        <w:sz w:val="22"/>
      </w:rPr>
      <w:tcPr>
        <w:shd w:val="clear" w:fill="FFFFFF" w:color="FFFFFF" w:themeFill="accent6"/>
      </w:tcPr>
    </w:tblStylePr>
    <w:tblStylePr w:type="lastRow">
      <w:rPr>
        <w:rFonts w:ascii="Arial" w:hAnsi="Arial"/>
        <w:color w:val="F2F2F2"/>
        <w:sz w:val="22"/>
      </w:rPr>
      <w:tcPr>
        <w:shd w:val="clear" w:fill="FFFFFF" w:color="FFFFFF" w:themeFill="accent6"/>
      </w:tcPr>
    </w:tblStylePr>
  </w:style>
  <w:style w:type="table" w:styleId="591">
    <w:name w:val="Bordered &amp; Lined - Accent"/>
    <w:basedOn w:val="623"/>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table" w:styleId="592">
    <w:name w:val="Bordered &amp; Lined - Accent 1"/>
    <w:basedOn w:val="623"/>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1" w:themeFillTint="50"/>
      </w:tcPr>
    </w:tblStylePr>
    <w:tblStylePr w:type="band2Vert">
      <w:rPr>
        <w:rFonts w:ascii="Arial" w:hAnsi="Arial"/>
        <w:color w:val="404040"/>
        <w:sz w:val="22"/>
      </w:rPr>
      <w:tcPr>
        <w:shd w:val="clear" w:fill="FFFFFF" w:color="FFFFFF" w:themeFill="accent1" w:themeFillTint="50"/>
      </w:tcPr>
    </w:tblStylePr>
    <w:tblStylePr w:type="firstCol">
      <w:rPr>
        <w:rFonts w:ascii="Arial" w:hAnsi="Arial"/>
        <w:color w:val="F2F2F2"/>
        <w:sz w:val="22"/>
      </w:rPr>
      <w:tcPr>
        <w:shd w:val="clear" w:fill="FFFFFF" w:color="FFFFFF" w:themeFill="accent1" w:themeFillTint="EA"/>
      </w:tcPr>
    </w:tblStylePr>
    <w:tblStylePr w:type="firstRow">
      <w:rPr>
        <w:rFonts w:ascii="Arial" w:hAnsi="Arial"/>
        <w:color w:val="F2F2F2"/>
        <w:sz w:val="22"/>
      </w:rPr>
      <w:tcPr>
        <w:shd w:val="clear" w:fill="FFFFFF" w:color="FFFFFF" w:themeFill="accent1" w:themeFillTint="EA"/>
      </w:tcPr>
    </w:tblStylePr>
    <w:tblStylePr w:type="lastCol">
      <w:rPr>
        <w:rFonts w:ascii="Arial" w:hAnsi="Arial"/>
        <w:color w:val="F2F2F2"/>
        <w:sz w:val="22"/>
      </w:rPr>
      <w:tcPr>
        <w:shd w:val="clear" w:fill="FFFFFF" w:color="FFFFFF" w:themeFill="accent1" w:themeFillTint="EA"/>
      </w:tcPr>
    </w:tblStylePr>
    <w:tblStylePr w:type="lastRow">
      <w:rPr>
        <w:rFonts w:ascii="Arial" w:hAnsi="Arial"/>
        <w:color w:val="F2F2F2"/>
        <w:sz w:val="22"/>
      </w:rPr>
      <w:tcPr>
        <w:shd w:val="clear" w:fill="FFFFFF" w:color="FFFFFF" w:themeFill="accent1" w:themeFillTint="EA"/>
      </w:tcPr>
    </w:tblStylePr>
  </w:style>
  <w:style w:type="table" w:styleId="593">
    <w:name w:val="Bordered &amp; Lined - Accent 2"/>
    <w:basedOn w:val="623"/>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2" w:themeFillTint="32"/>
      </w:tcPr>
    </w:tblStylePr>
    <w:tblStylePr w:type="band2Vert">
      <w:rPr>
        <w:rFonts w:ascii="Arial" w:hAnsi="Arial"/>
        <w:color w:val="404040"/>
        <w:sz w:val="22"/>
      </w:rPr>
      <w:tcPr>
        <w:shd w:val="clear" w:fill="FFFFFF" w:color="FFFFFF" w:themeFill="accent2" w:themeFillTint="32"/>
      </w:tcPr>
    </w:tblStylePr>
    <w:tblStylePr w:type="firstCol">
      <w:rPr>
        <w:rFonts w:ascii="Arial" w:hAnsi="Arial"/>
        <w:color w:val="F2F2F2"/>
        <w:sz w:val="22"/>
      </w:rPr>
      <w:tcPr>
        <w:shd w:val="clear" w:fill="FFFFFF" w:color="FFFFFF" w:themeFill="accent2" w:themeFillTint="97"/>
      </w:tcPr>
    </w:tblStylePr>
    <w:tblStylePr w:type="firstRow">
      <w:rPr>
        <w:rFonts w:ascii="Arial" w:hAnsi="Arial"/>
        <w:color w:val="F2F2F2"/>
        <w:sz w:val="22"/>
      </w:rPr>
      <w:tcPr>
        <w:shd w:val="clear" w:fill="FFFFFF" w:color="FFFFFF" w:themeFill="accent2" w:themeFillTint="97"/>
      </w:tcPr>
    </w:tblStylePr>
    <w:tblStylePr w:type="lastCol">
      <w:rPr>
        <w:rFonts w:ascii="Arial" w:hAnsi="Arial"/>
        <w:color w:val="F2F2F2"/>
        <w:sz w:val="22"/>
      </w:rPr>
      <w:tcPr>
        <w:shd w:val="clear" w:fill="FFFFFF" w:color="FFFFFF" w:themeFill="accent2" w:themeFillTint="97"/>
      </w:tcPr>
    </w:tblStylePr>
    <w:tblStylePr w:type="lastRow">
      <w:rPr>
        <w:rFonts w:ascii="Arial" w:hAnsi="Arial"/>
        <w:color w:val="F2F2F2"/>
        <w:sz w:val="22"/>
      </w:rPr>
      <w:tcPr>
        <w:shd w:val="clear" w:fill="FFFFFF" w:color="FFFFFF" w:themeFill="accent2" w:themeFillTint="97"/>
      </w:tcPr>
    </w:tblStylePr>
  </w:style>
  <w:style w:type="table" w:styleId="594">
    <w:name w:val="Bordered &amp; Lined - Accent 3"/>
    <w:basedOn w:val="623"/>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3" w:themeFillTint="34"/>
      </w:tcPr>
    </w:tblStylePr>
    <w:tblStylePr w:type="band2Vert">
      <w:rPr>
        <w:rFonts w:ascii="Arial" w:hAnsi="Arial"/>
        <w:color w:val="404040"/>
        <w:sz w:val="22"/>
      </w:rPr>
      <w:tcPr>
        <w:shd w:val="clear" w:fill="FFFFFF" w:color="FFFFFF" w:themeFill="accent3" w:themeFillTint="34"/>
      </w:tcPr>
    </w:tblStylePr>
    <w:tblStylePr w:type="firstCol">
      <w:rPr>
        <w:rFonts w:ascii="Arial" w:hAnsi="Arial"/>
        <w:color w:val="F2F2F2"/>
        <w:sz w:val="22"/>
      </w:rPr>
      <w:tcPr>
        <w:shd w:val="clear" w:fill="FFFFFF" w:color="FFFFFF" w:themeFill="accent3" w:themeFillTint="FE"/>
      </w:tcPr>
    </w:tblStylePr>
    <w:tblStylePr w:type="firstRow">
      <w:rPr>
        <w:rFonts w:ascii="Arial" w:hAnsi="Arial"/>
        <w:color w:val="F2F2F2"/>
        <w:sz w:val="22"/>
      </w:rPr>
      <w:tcPr>
        <w:shd w:val="clear" w:fill="FFFFFF" w:color="FFFFFF" w:themeFill="accent3" w:themeFillTint="FE"/>
      </w:tcPr>
    </w:tblStylePr>
    <w:tblStylePr w:type="lastCol">
      <w:rPr>
        <w:rFonts w:ascii="Arial" w:hAnsi="Arial"/>
        <w:color w:val="F2F2F2"/>
        <w:sz w:val="22"/>
      </w:rPr>
      <w:tcPr>
        <w:shd w:val="clear" w:fill="FFFFFF" w:color="FFFFFF" w:themeFill="accent3" w:themeFillTint="FE"/>
      </w:tcPr>
    </w:tblStylePr>
    <w:tblStylePr w:type="lastRow">
      <w:rPr>
        <w:rFonts w:ascii="Arial" w:hAnsi="Arial"/>
        <w:color w:val="F2F2F2"/>
        <w:sz w:val="22"/>
      </w:rPr>
      <w:tcPr>
        <w:shd w:val="clear" w:fill="FFFFFF" w:color="FFFFFF" w:themeFill="accent3" w:themeFillTint="FE"/>
      </w:tcPr>
    </w:tblStylePr>
  </w:style>
  <w:style w:type="table" w:styleId="595">
    <w:name w:val="Bordered &amp; Lined - Accent 4"/>
    <w:basedOn w:val="623"/>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4" w:themeFillTint="34"/>
      </w:tcPr>
    </w:tblStylePr>
    <w:tblStylePr w:type="band2Vert">
      <w:rPr>
        <w:rFonts w:ascii="Arial" w:hAnsi="Arial"/>
        <w:color w:val="404040"/>
        <w:sz w:val="22"/>
      </w:rPr>
      <w:tcPr>
        <w:shd w:val="clear" w:fill="FFFFFF" w:color="FFFFFF" w:themeFill="accent4" w:themeFillTint="34"/>
      </w:tcPr>
    </w:tblStylePr>
    <w:tblStylePr w:type="firstCol">
      <w:rPr>
        <w:rFonts w:ascii="Arial" w:hAnsi="Arial"/>
        <w:color w:val="F2F2F2"/>
        <w:sz w:val="22"/>
      </w:rPr>
      <w:tcPr>
        <w:shd w:val="clear" w:fill="FFFFFF" w:color="FFFFFF" w:themeFill="accent4" w:themeFillTint="9A"/>
      </w:tcPr>
    </w:tblStylePr>
    <w:tblStylePr w:type="firstRow">
      <w:rPr>
        <w:rFonts w:ascii="Arial" w:hAnsi="Arial"/>
        <w:color w:val="F2F2F2"/>
        <w:sz w:val="22"/>
      </w:rPr>
      <w:tcPr>
        <w:shd w:val="clear" w:fill="FFFFFF" w:color="FFFFFF" w:themeFill="accent4" w:themeFillTint="9A"/>
      </w:tcPr>
    </w:tblStylePr>
    <w:tblStylePr w:type="lastCol">
      <w:rPr>
        <w:rFonts w:ascii="Arial" w:hAnsi="Arial"/>
        <w:color w:val="F2F2F2"/>
        <w:sz w:val="22"/>
      </w:rPr>
      <w:tcPr>
        <w:shd w:val="clear" w:fill="FFFFFF" w:color="FFFFFF" w:themeFill="accent4" w:themeFillTint="9A"/>
      </w:tcPr>
    </w:tblStylePr>
    <w:tblStylePr w:type="lastRow">
      <w:rPr>
        <w:rFonts w:ascii="Arial" w:hAnsi="Arial"/>
        <w:color w:val="F2F2F2"/>
        <w:sz w:val="22"/>
      </w:rPr>
      <w:tcPr>
        <w:shd w:val="clear" w:fill="FFFFFF" w:color="FFFFFF" w:themeFill="accent4" w:themeFillTint="9A"/>
      </w:tcPr>
    </w:tblStylePr>
  </w:style>
  <w:style w:type="table" w:styleId="596">
    <w:name w:val="Bordered &amp; Lined - Accent 5"/>
    <w:basedOn w:val="623"/>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5" w:themeFillTint="34"/>
      </w:tcPr>
    </w:tblStylePr>
    <w:tblStylePr w:type="band2Vert">
      <w:rPr>
        <w:rFonts w:ascii="Arial" w:hAnsi="Arial"/>
        <w:color w:val="404040"/>
        <w:sz w:val="22"/>
      </w:rPr>
      <w:tcPr>
        <w:shd w:val="clear" w:fill="FFFFFF" w:color="FFFFFF" w:themeFill="accent5" w:themeFillTint="34"/>
      </w:tcPr>
    </w:tblStylePr>
    <w:tblStylePr w:type="firstCol">
      <w:rPr>
        <w:rFonts w:ascii="Arial" w:hAnsi="Arial"/>
        <w:color w:val="F2F2F2"/>
        <w:sz w:val="22"/>
      </w:rPr>
      <w:tcPr>
        <w:shd w:val="clear" w:fill="FFFFFF" w:color="FFFFFF" w:themeFill="accent5"/>
      </w:tcPr>
    </w:tblStylePr>
    <w:tblStylePr w:type="firstRow">
      <w:rPr>
        <w:rFonts w:ascii="Arial" w:hAnsi="Arial"/>
        <w:color w:val="F2F2F2"/>
        <w:sz w:val="22"/>
      </w:rPr>
      <w:tcPr>
        <w:shd w:val="clear" w:fill="FFFFFF" w:color="FFFFFF" w:themeFill="accent5"/>
      </w:tcPr>
    </w:tblStylePr>
    <w:tblStylePr w:type="lastCol">
      <w:rPr>
        <w:rFonts w:ascii="Arial" w:hAnsi="Arial"/>
        <w:color w:val="F2F2F2"/>
        <w:sz w:val="22"/>
      </w:rPr>
      <w:tcPr>
        <w:shd w:val="clear" w:fill="FFFFFF" w:color="FFFFFF" w:themeFill="accent5"/>
      </w:tcPr>
    </w:tblStylePr>
    <w:tblStylePr w:type="lastRow">
      <w:rPr>
        <w:rFonts w:ascii="Arial" w:hAnsi="Arial"/>
        <w:color w:val="F2F2F2"/>
        <w:sz w:val="22"/>
      </w:rPr>
      <w:tcPr>
        <w:shd w:val="clear" w:fill="FFFFFF" w:color="FFFFFF" w:themeFill="accent5"/>
      </w:tcPr>
    </w:tblStylePr>
  </w:style>
  <w:style w:type="table" w:styleId="597">
    <w:name w:val="Bordered &amp; Lined - Accent 6"/>
    <w:basedOn w:val="623"/>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6" w:themeFillTint="34"/>
      </w:tcPr>
    </w:tblStylePr>
    <w:tblStylePr w:type="band2Vert">
      <w:rPr>
        <w:rFonts w:ascii="Arial" w:hAnsi="Arial"/>
        <w:color w:val="404040"/>
        <w:sz w:val="22"/>
      </w:rPr>
      <w:tcPr>
        <w:shd w:val="clear" w:fill="FFFFFF" w:color="FFFFFF" w:themeFill="accent6" w:themeFillTint="34"/>
      </w:tcPr>
    </w:tblStylePr>
    <w:tblStylePr w:type="firstCol">
      <w:rPr>
        <w:rFonts w:ascii="Arial" w:hAnsi="Arial"/>
        <w:color w:val="F2F2F2"/>
        <w:sz w:val="22"/>
      </w:rPr>
      <w:tcPr>
        <w:shd w:val="clear" w:fill="FFFFFF" w:color="FFFFFF" w:themeFill="accent6"/>
      </w:tcPr>
    </w:tblStylePr>
    <w:tblStylePr w:type="firstRow">
      <w:rPr>
        <w:rFonts w:ascii="Arial" w:hAnsi="Arial"/>
        <w:color w:val="F2F2F2"/>
        <w:sz w:val="22"/>
      </w:rPr>
      <w:tcPr>
        <w:shd w:val="clear" w:fill="FFFFFF" w:color="FFFFFF" w:themeFill="accent6"/>
      </w:tcPr>
    </w:tblStylePr>
    <w:tblStylePr w:type="lastCol">
      <w:rPr>
        <w:rFonts w:ascii="Arial" w:hAnsi="Arial"/>
        <w:color w:val="F2F2F2"/>
        <w:sz w:val="22"/>
      </w:rPr>
      <w:tcPr>
        <w:shd w:val="clear" w:fill="FFFFFF" w:color="FFFFFF" w:themeFill="accent6"/>
      </w:tcPr>
    </w:tblStylePr>
    <w:tblStylePr w:type="lastRow">
      <w:rPr>
        <w:rFonts w:ascii="Arial" w:hAnsi="Arial"/>
        <w:color w:val="F2F2F2"/>
        <w:sz w:val="22"/>
      </w:rPr>
      <w:tcPr>
        <w:shd w:val="clear" w:fill="FFFFFF" w:color="FFFFFF" w:themeFill="accent6"/>
      </w:tcPr>
    </w:tblStylePr>
  </w:style>
  <w:style w:type="table" w:styleId="598">
    <w:name w:val="Bordered"/>
    <w:basedOn w:val="623"/>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599">
    <w:name w:val="Bordered - Accent 1"/>
    <w:basedOn w:val="62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600">
    <w:name w:val="Bordered - Accent 2"/>
    <w:basedOn w:val="62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601">
    <w:name w:val="Bordered - Accent 3"/>
    <w:basedOn w:val="62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602">
    <w:name w:val="Bordered - Accent 4"/>
    <w:basedOn w:val="62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603">
    <w:name w:val="Bordered - Accent 5"/>
    <w:basedOn w:val="62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604">
    <w:name w:val="Bordered - Accent 6"/>
    <w:basedOn w:val="62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605">
    <w:name w:val="Hyperlink"/>
    <w:uiPriority w:val="99"/>
    <w:unhideWhenUsed/>
    <w:rPr>
      <w:color w:val="0000FF" w:themeColor="hyperlink"/>
      <w:u w:val="single"/>
    </w:rPr>
  </w:style>
  <w:style w:type="paragraph" w:styleId="606">
    <w:name w:val="footnote text"/>
    <w:basedOn w:val="622"/>
    <w:link w:val="607"/>
    <w:uiPriority w:val="99"/>
    <w:semiHidden/>
    <w:unhideWhenUsed/>
    <w:rPr>
      <w:sz w:val="18"/>
    </w:rPr>
    <w:pPr>
      <w:spacing w:lineRule="auto" w:line="240" w:after="40"/>
    </w:pPr>
  </w:style>
  <w:style w:type="character" w:styleId="607">
    <w:name w:val="Footnote Text Char"/>
    <w:link w:val="606"/>
    <w:uiPriority w:val="99"/>
    <w:rPr>
      <w:sz w:val="18"/>
    </w:rPr>
  </w:style>
  <w:style w:type="character" w:styleId="608">
    <w:name w:val="footnote reference"/>
    <w:uiPriority w:val="99"/>
    <w:unhideWhenUsed/>
    <w:rPr>
      <w:vertAlign w:val="superscript"/>
    </w:rPr>
  </w:style>
  <w:style w:type="paragraph" w:styleId="609">
    <w:name w:val="endnote text"/>
    <w:basedOn w:val="622"/>
    <w:link w:val="610"/>
    <w:uiPriority w:val="99"/>
    <w:semiHidden/>
    <w:unhideWhenUsed/>
    <w:rPr>
      <w:sz w:val="20"/>
    </w:rPr>
    <w:pPr>
      <w:spacing w:lineRule="auto" w:line="240" w:after="0"/>
    </w:pPr>
  </w:style>
  <w:style w:type="character" w:styleId="610">
    <w:name w:val="Endnote Text Char"/>
    <w:link w:val="609"/>
    <w:uiPriority w:val="99"/>
    <w:rPr>
      <w:sz w:val="20"/>
    </w:rPr>
  </w:style>
  <w:style w:type="character" w:styleId="611">
    <w:name w:val="endnote reference"/>
    <w:uiPriority w:val="99"/>
    <w:semiHidden/>
    <w:unhideWhenUsed/>
    <w:rPr>
      <w:vertAlign w:val="superscript"/>
    </w:rPr>
  </w:style>
  <w:style w:type="paragraph" w:styleId="612">
    <w:name w:val="toc 1"/>
    <w:basedOn w:val="622"/>
    <w:next w:val="622"/>
    <w:uiPriority w:val="39"/>
    <w:unhideWhenUsed/>
    <w:pPr>
      <w:ind w:left="0" w:right="0" w:firstLine="0"/>
      <w:spacing w:after="57"/>
    </w:pPr>
  </w:style>
  <w:style w:type="paragraph" w:styleId="613">
    <w:name w:val="toc 2"/>
    <w:basedOn w:val="622"/>
    <w:next w:val="622"/>
    <w:uiPriority w:val="39"/>
    <w:unhideWhenUsed/>
    <w:pPr>
      <w:ind w:left="283" w:right="0" w:firstLine="0"/>
      <w:spacing w:after="57"/>
    </w:pPr>
  </w:style>
  <w:style w:type="paragraph" w:styleId="614">
    <w:name w:val="toc 3"/>
    <w:basedOn w:val="622"/>
    <w:next w:val="622"/>
    <w:uiPriority w:val="39"/>
    <w:unhideWhenUsed/>
    <w:pPr>
      <w:ind w:left="567" w:right="0" w:firstLine="0"/>
      <w:spacing w:after="57"/>
    </w:pPr>
  </w:style>
  <w:style w:type="paragraph" w:styleId="615">
    <w:name w:val="toc 4"/>
    <w:basedOn w:val="622"/>
    <w:next w:val="622"/>
    <w:uiPriority w:val="39"/>
    <w:unhideWhenUsed/>
    <w:pPr>
      <w:ind w:left="850" w:right="0" w:firstLine="0"/>
      <w:spacing w:after="57"/>
    </w:pPr>
  </w:style>
  <w:style w:type="paragraph" w:styleId="616">
    <w:name w:val="toc 5"/>
    <w:basedOn w:val="622"/>
    <w:next w:val="622"/>
    <w:uiPriority w:val="39"/>
    <w:unhideWhenUsed/>
    <w:pPr>
      <w:ind w:left="1134" w:right="0" w:firstLine="0"/>
      <w:spacing w:after="57"/>
    </w:pPr>
  </w:style>
  <w:style w:type="paragraph" w:styleId="617">
    <w:name w:val="toc 6"/>
    <w:basedOn w:val="622"/>
    <w:next w:val="622"/>
    <w:uiPriority w:val="39"/>
    <w:unhideWhenUsed/>
    <w:pPr>
      <w:ind w:left="1417" w:right="0" w:firstLine="0"/>
      <w:spacing w:after="57"/>
    </w:pPr>
  </w:style>
  <w:style w:type="paragraph" w:styleId="618">
    <w:name w:val="toc 7"/>
    <w:basedOn w:val="622"/>
    <w:next w:val="622"/>
    <w:uiPriority w:val="39"/>
    <w:unhideWhenUsed/>
    <w:pPr>
      <w:ind w:left="1701" w:right="0" w:firstLine="0"/>
      <w:spacing w:after="57"/>
    </w:pPr>
  </w:style>
  <w:style w:type="paragraph" w:styleId="619">
    <w:name w:val="toc 8"/>
    <w:basedOn w:val="622"/>
    <w:next w:val="622"/>
    <w:uiPriority w:val="39"/>
    <w:unhideWhenUsed/>
    <w:pPr>
      <w:ind w:left="1984" w:right="0" w:firstLine="0"/>
      <w:spacing w:after="57"/>
    </w:pPr>
  </w:style>
  <w:style w:type="paragraph" w:styleId="620">
    <w:name w:val="toc 9"/>
    <w:basedOn w:val="622"/>
    <w:next w:val="622"/>
    <w:uiPriority w:val="39"/>
    <w:unhideWhenUsed/>
    <w:pPr>
      <w:ind w:left="2268" w:right="0" w:firstLine="0"/>
      <w:spacing w:after="57"/>
    </w:pPr>
  </w:style>
  <w:style w:type="paragraph" w:styleId="621">
    <w:name w:val="TOC Heading"/>
    <w:uiPriority w:val="39"/>
    <w:unhideWhenUsed/>
  </w:style>
  <w:style w:type="paragraph" w:styleId="622" w:default="1">
    <w:name w:val="Normal"/>
    <w:qFormat/>
  </w:style>
  <w:style w:type="table" w:styleId="623" w:default="1">
    <w:name w:val="Normal Table"/>
    <w:uiPriority w:val="99"/>
    <w:semiHidden/>
    <w:unhideWhenUsed/>
    <w:tblPr>
      <w:tblInd w:w="0" w:type="dxa"/>
      <w:tblCellMar>
        <w:left w:w="108" w:type="dxa"/>
        <w:top w:w="0" w:type="dxa"/>
        <w:right w:w="108" w:type="dxa"/>
        <w:bottom w:w="0" w:type="dxa"/>
      </w:tblCellMar>
    </w:tblPr>
  </w:style>
  <w:style w:type="numbering" w:styleId="624" w:default="1">
    <w:name w:val="No List"/>
    <w:uiPriority w:val="99"/>
    <w:semiHidden/>
    <w:unhideWhenUsed/>
  </w:style>
  <w:style w:type="paragraph" w:styleId="625">
    <w:name w:val="No Spacing"/>
    <w:basedOn w:val="622"/>
    <w:qFormat/>
    <w:uiPriority w:val="1"/>
    <w:pPr>
      <w:spacing w:lineRule="auto" w:line="240" w:after="0"/>
    </w:pPr>
  </w:style>
  <w:style w:type="paragraph" w:styleId="626">
    <w:name w:val="List Paragraph"/>
    <w:basedOn w:val="622"/>
    <w:qFormat/>
    <w:uiPriority w:val="34"/>
    <w:pPr>
      <w:contextualSpacing w:val="true"/>
      <w:ind w:left="720"/>
    </w:pPr>
  </w:style>
  <w:style w:type="character" w:styleId="627" w:default="1">
    <w:name w:val="Default Paragraph Font"/>
    <w:uiPriority w:val="1"/>
    <w:semiHidden/>
    <w:unhideWhenUsed/>
  </w:style>
  <w:style w:type="paragraph" w:styleId="628">
    <w:name w:val="* * * *o*s*l*s*o*m*l"/>
    <w:uiPriority w:val="0"/>
    <w:rPr>
      <w:rFonts w:ascii="A*i*l" w:hAnsi="A*i*l" w:cs="A*i*l" w:eastAsia="A*i*l"/>
      <w:b w:val="false"/>
      <w:bCs w:val="false"/>
      <w:i w:val="false"/>
      <w:iCs w:val="false"/>
      <w:caps w:val="false"/>
      <w:smallCaps w:val="false"/>
      <w:strike w:val="false"/>
      <w:vanish w:val="false"/>
      <w:color w:val="auto"/>
      <w:spacing w:val="0"/>
      <w:position w:val="0"/>
      <w:sz w:val="16"/>
      <w:szCs w:val="16"/>
      <w:highlight w:val="none"/>
      <w:u w:val="none"/>
      <w:vertAlign w:val="baseline"/>
      <w:rtl w:val="false"/>
      <w:cs w:val="false"/>
      <w:lang w:val="ru-RU" w:bidi="ru-RU" w:eastAsia="zh-CN"/>
    </w:rPr>
    <w:pPr>
      <w:contextualSpacing w:val="false"/>
      <w:ind w:left="0" w:right="0" w:firstLine="0"/>
      <w:jc w:val="left"/>
      <w:keepLines w:val="false"/>
      <w:keepNext w:val="false"/>
      <w:pageBreakBefore w:val="false"/>
      <w:spacing w:lineRule="auto" w:line="240" w:after="0" w:afterAutospacing="0" w:before="0" w:beforeAutospacing="0"/>
      <w:shd w:val="nil" w:fill="000000" w:color="000000"/>
      <w:widowControl/>
      <w:pBdr>
        <w:left w:val="none" w:color="000000" w:sz="4" w:space="0"/>
        <w:top w:val="none" w:color="000000" w:sz="4" w:space="0"/>
        <w:right w:val="none" w:color="000000" w:sz="4" w:space="0"/>
        <w:bottom w:val="none" w:color="000000" w:sz="4" w:space="0"/>
        <w:between w:val="none" w:color="000000" w:sz="4" w:space="0"/>
      </w:pBdr>
      <w:suppressLineNumbers w:val="0"/>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login.consultant.ru/link/?req=doc&amp;base=RLAW021&amp;n=186785&amp;dst=10000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PT Sans"/>
        <a:ea typeface="PT Sans"/>
        <a:cs typeface="PT Sans"/>
      </a:majorFont>
      <a:minorFont>
        <a:latin typeface="PT Sans"/>
        <a:ea typeface="PT Sans"/>
        <a:cs typeface="PT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Р7-Офис/6.1.0.68</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11</cp:revision>
  <dcterms:modified xsi:type="dcterms:W3CDTF">2026-07-30T09:09:29Z</dcterms:modified>
</cp:coreProperties>
</file>