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2607945</wp:posOffset>
                </wp:positionH>
                <wp:positionV relativeFrom="paragraph">
                  <wp:posOffset>-603885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5.3pt;mso-position-horizontal:absolute;mso-position-vertical-relative:text;margin-top:-47.5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ПО ТАРИФНОМУ РЕГУЛИРОВАНИЮ</w:t>
            </w:r>
            <w:r>
              <w:rPr>
                <w:b/>
                <w:sz w:val="28"/>
                <w:szCs w:val="28"/>
              </w:rPr>
              <w:t xml:space="preserve"> 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</w:t>
            </w:r>
            <w:r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/>
          </w:p>
        </w:tc>
      </w:tr>
      <w:tr>
        <w:trPr>
          <w:jc w:val="center"/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17.03.2026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31-8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Кодексе этики и служебного поведения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</w:t>
      </w:r>
      <w:r>
        <w:rPr>
          <w:b/>
          <w:sz w:val="26"/>
          <w:szCs w:val="26"/>
        </w:rPr>
        <w:t xml:space="preserve"> </w:t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</w:t>
      </w:r>
      <w:r>
        <w:rPr>
          <w:rFonts w:ascii="Times New Roman" w:hAnsi="Times New Roman" w:cs="Times New Roman"/>
          <w:sz w:val="26"/>
          <w:szCs w:val="26"/>
        </w:rPr>
        <w:t xml:space="preserve">елях обеспечения условий для добросовестного и эффективного исполнения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по тарифному регулированию и госуд</w:t>
      </w:r>
      <w:r>
        <w:rPr>
          <w:rFonts w:ascii="Times New Roman" w:hAnsi="Times New Roman" w:cs="Times New Roman"/>
          <w:sz w:val="26"/>
          <w:szCs w:val="26"/>
        </w:rPr>
        <w:t xml:space="preserve">арственным закупкам Пензенской области, должностных обязанностей, исключения злоупотреблений на государственной гражданской службе Пензенской области в Министерстве по тарифному регулированию и государственным закупкам   Пензенской области, руководствуясь </w:t>
      </w:r>
      <w:hyperlink r:id="rId10" w:tooltip="https://login.consultant.ru/link/?req=doc&amp;base=RLAW021&amp;n=181874&amp;dst=100014" w:history="1">
        <w:r>
          <w:rPr>
            <w:rFonts w:ascii="Times New Roman" w:hAnsi="Times New Roman" w:cs="Times New Roman"/>
            <w:sz w:val="26"/>
            <w:szCs w:val="26"/>
          </w:rPr>
          <w:t xml:space="preserve">Положением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Министерстве по тарифному регулированию и государственным</w:t>
      </w:r>
      <w:r>
        <w:rPr>
          <w:rFonts w:ascii="Times New Roman" w:hAnsi="Times New Roman" w:cs="Times New Roman"/>
          <w:sz w:val="26"/>
          <w:szCs w:val="26"/>
        </w:rPr>
        <w:t xml:space="preserve"> закупкам Пензенской области, утвержденным постановлением Правительства Пензенской области от 17.02.2026 № 111-пП,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sz w:val="26"/>
          <w:szCs w:val="26"/>
        </w:rPr>
        <w:t xml:space="preserve"> р и к а з ы в а ю 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history="1">
        <w:r>
          <w:rPr>
            <w:rFonts w:ascii="Times New Roman" w:hAnsi="Times New Roman" w:cs="Times New Roman"/>
            <w:sz w:val="26"/>
            <w:szCs w:val="26"/>
          </w:rPr>
          <w:t xml:space="preserve">Кодекс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Н</w:t>
      </w:r>
      <w:r>
        <w:rPr>
          <w:rFonts w:ascii="Times New Roman" w:hAnsi="Times New Roman" w:cs="Times New Roman"/>
          <w:sz w:val="26"/>
          <w:szCs w:val="26"/>
        </w:rPr>
        <w:t xml:space="preserve">астоящий приказ </w:t>
      </w:r>
      <w:r>
        <w:rPr>
          <w:rFonts w:ascii="Times New Roman" w:hAnsi="Times New Roman" w:cs="Times New Roman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азместить (опубликовать) </w:t>
      </w:r>
      <w:r>
        <w:rPr>
          <w:rFonts w:ascii="Times New Roman" w:hAnsi="Times New Roman" w:cs="Times New Roman"/>
          <w:sz w:val="26"/>
          <w:szCs w:val="26"/>
        </w:rPr>
        <w:t xml:space="preserve">на «Официальном </w:t>
      </w:r>
      <w:r>
        <w:rPr>
          <w:rFonts w:ascii="Times New Roman" w:hAnsi="Times New Roman" w:cs="Times New Roman"/>
          <w:sz w:val="26"/>
          <w:szCs w:val="26"/>
        </w:rPr>
        <w:t xml:space="preserve">интернет-портале</w:t>
      </w:r>
      <w:r>
        <w:rPr>
          <w:rFonts w:ascii="Times New Roman" w:hAnsi="Times New Roman" w:cs="Times New Roman"/>
          <w:sz w:val="26"/>
          <w:szCs w:val="26"/>
        </w:rPr>
        <w:t xml:space="preserve"> правовой информации» (</w:t>
      </w:r>
      <w:hyperlink r:id="rId11" w:tooltip="www.pravo.gov.ru" w:history="1">
        <w:r>
          <w:rPr>
            <w:rFonts w:ascii="Times New Roman" w:hAnsi="Times New Roman" w:cs="Times New Roman"/>
            <w:sz w:val="26"/>
            <w:szCs w:val="26"/>
          </w:rPr>
          <w:t xml:space="preserve">www.pravo.gov.ru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) и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Настоящий приказ вступает в силу с момента его официального опубликования.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6"/>
          <w:szCs w:val="26"/>
        </w:rPr>
        <w:t xml:space="preserve">Министр         </w:t>
      </w:r>
      <w:r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                             </w:t>
      </w:r>
      <w:bookmarkStart w:id="0" w:name="_GoBack"/>
      <w:r/>
      <w:bookmarkEnd w:id="0"/>
      <w:r>
        <w:rPr>
          <w:sz w:val="26"/>
          <w:szCs w:val="26"/>
        </w:rPr>
        <w:t xml:space="preserve">Д.И. </w:t>
      </w:r>
      <w:r>
        <w:rPr>
          <w:sz w:val="26"/>
          <w:szCs w:val="26"/>
        </w:rPr>
        <w:t xml:space="preserve">Сагайдачный</w:t>
      </w:r>
      <w:r/>
    </w:p>
    <w:p>
      <w:r/>
      <w:r/>
    </w:p>
    <w:p>
      <w:r/>
      <w:r/>
    </w:p>
    <w:p>
      <w:pPr>
        <w:pStyle w:val="422"/>
        <w:jc w:val="right"/>
        <w:rPr>
          <w:rFonts w:ascii="Times New Roman" w:hAnsi="Times New Roman" w:cs="Times New Roman"/>
          <w:sz w:val="26"/>
          <w:szCs w:val="26"/>
        </w:rPr>
        <w:outlineLvl w:val="0"/>
      </w:pPr>
      <w:r/>
      <w:bookmarkStart w:id="1" w:name="Par35"/>
      <w:r/>
      <w:bookmarkEnd w:id="1"/>
      <w:r>
        <w:rPr>
          <w:rFonts w:ascii="Times New Roman" w:hAnsi="Times New Roman" w:cs="Times New Roman"/>
          <w:sz w:val="26"/>
          <w:szCs w:val="26"/>
        </w:rPr>
        <w:t xml:space="preserve">Утвержден</w:t>
      </w:r>
      <w:r/>
    </w:p>
    <w:p>
      <w:pPr>
        <w:pStyle w:val="42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</w:t>
      </w:r>
      <w:r/>
    </w:p>
    <w:p>
      <w:pPr>
        <w:pStyle w:val="42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>
        <w:rPr>
          <w:rFonts w:ascii="Times New Roman" w:hAnsi="Times New Roman" w:cs="Times New Roman"/>
          <w:sz w:val="26"/>
          <w:szCs w:val="26"/>
        </w:rPr>
        <w:t xml:space="preserve"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pStyle w:val="42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тарифному регулированию</w:t>
      </w:r>
      <w:r/>
    </w:p>
    <w:p>
      <w:pPr>
        <w:pStyle w:val="42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 государственным закупкам </w:t>
      </w:r>
      <w:r/>
    </w:p>
    <w:p>
      <w:pPr>
        <w:pStyle w:val="42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Пензенской области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17.03.2026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31-8</w:t>
      </w:r>
      <w:r>
        <w:rPr>
          <w:rFonts w:ascii="Times New Roman" w:hAnsi="Times New Roman" w:cs="Times New Roman"/>
          <w:sz w:val="24"/>
        </w:rPr>
        <w:t xml:space="preserve"> 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42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Кодекс этики и служебного поведения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</w:t>
      </w:r>
      <w:r/>
    </w:p>
    <w:p>
      <w:pPr>
        <w:pStyle w:val="4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1. Общие положения</w:t>
      </w:r>
      <w:r/>
    </w:p>
    <w:p>
      <w:pPr>
        <w:pStyle w:val="4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 xml:space="preserve">Кодекс этики и служебного поведения государственных гражданс</w:t>
      </w:r>
      <w:r>
        <w:rPr>
          <w:rFonts w:ascii="Times New Roman" w:hAnsi="Times New Roman" w:cs="Times New Roman"/>
          <w:sz w:val="26"/>
          <w:szCs w:val="26"/>
        </w:rPr>
        <w:t xml:space="preserve">ких служащих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  Пензенской области (далее - Кодекс), разработан в соответствии с положениями </w:t>
      </w:r>
      <w:hyperlink r:id="rId12" w:tooltip="https://login.consultant.ru/link/?req=doc&amp;base=LAW&amp;n=2875" w:history="1">
        <w:r>
          <w:rPr>
            <w:rFonts w:ascii="Times New Roman" w:hAnsi="Times New Roman" w:cs="Times New Roman"/>
            <w:sz w:val="26"/>
            <w:szCs w:val="26"/>
          </w:rPr>
          <w:t xml:space="preserve">Конституции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13" w:tooltip="https://login.consultant.ru/link/?req=doc&amp;base=LAW&amp;n=433319" w:history="1">
        <w:r>
          <w:rPr>
            <w:rFonts w:ascii="Times New Roman" w:hAnsi="Times New Roman" w:cs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27.05.2003 № 58-ФЗ «О системе государственной службы Российской Федерации» (с последующими изменениями), Федерального </w:t>
      </w:r>
      <w:hyperlink r:id="rId14" w:tooltip="https://login.consultant.ru/link/?req=doc&amp;base=LAW&amp;n=449628" w:history="1">
        <w:r>
          <w:rPr>
            <w:rFonts w:ascii="Times New Roman" w:hAnsi="Times New Roman" w:cs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27.07.2004 № 79-ФЗ «О государственной гражданской службе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Федерации» (с последующими изменениями) (далее – Федеральный закон от 27.07.2004 № 79-ФЗ), Федерального </w:t>
      </w:r>
      <w:hyperlink r:id="rId15" w:tooltip="https://login.consultant.ru/link/?req=doc&amp;base=LAW&amp;n=449673" w:history="1">
        <w:r>
          <w:rPr>
            <w:rFonts w:ascii="Times New Roman" w:hAnsi="Times New Roman" w:cs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25.12.2008 №</w:t>
      </w:r>
      <w:r>
        <w:rPr>
          <w:rFonts w:ascii="Times New Roman" w:hAnsi="Times New Roman" w:cs="Times New Roman"/>
          <w:sz w:val="26"/>
          <w:szCs w:val="26"/>
        </w:rPr>
        <w:t xml:space="preserve"> 273-ФЗ «О противодействии коррупции» (с последующими изменениями) (далее - Федеральный закон от 25.12.2008 № 273-ФЗ), других федеральных законов, содержащих ограничения, запреты и обязанности для государственных гражданских служащих Российской Федерации, </w:t>
      </w:r>
      <w:hyperlink r:id="rId16" w:tooltip="https://login.consultant.ru/link/?req=doc&amp;base=LAW&amp;n=393702" w:history="1">
        <w:r>
          <w:rPr>
            <w:rFonts w:ascii="Times New Roman" w:hAnsi="Times New Roman" w:cs="Times New Roman"/>
            <w:sz w:val="26"/>
            <w:szCs w:val="26"/>
          </w:rPr>
          <w:t xml:space="preserve">Указа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</w:t>
      </w:r>
      <w:r>
        <w:rPr>
          <w:rFonts w:ascii="Times New Roman" w:hAnsi="Times New Roman" w:cs="Times New Roman"/>
          <w:sz w:val="26"/>
          <w:szCs w:val="26"/>
        </w:rPr>
        <w:t xml:space="preserve">), </w:t>
      </w:r>
      <w:hyperlink r:id="rId17" w:tooltip="https://login.consultant.ru/link/?req=doc&amp;base=RLAW021&amp;n=192110" w:history="1">
        <w:r>
          <w:rPr>
            <w:rFonts w:ascii="Times New Roman" w:hAnsi="Times New Roman" w:cs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Пензенской области от 29.03.2024 № 4161-ЗПО «О государственной гражданской службе Пензенской области», </w:t>
      </w:r>
      <w:hyperlink r:id="rId18" w:tooltip="https://login.consultant.ru/link/?req=doc&amp;base=RLAW021&amp;n=192940" w:history="1">
        <w:r>
          <w:rPr>
            <w:rFonts w:ascii="Times New Roman" w:hAnsi="Times New Roman" w:cs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Пензенской области от 24.04.2024 № 4204-ЗПО «О противодействии коррупции в Пензенской области» и иных нормативных правовых актов Российской Федерации и Пензенской области.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Кодекс представляет собой свод </w:t>
      </w:r>
      <w:r>
        <w:rPr>
          <w:rFonts w:ascii="Times New Roman" w:hAnsi="Times New Roman" w:cs="Times New Roman"/>
          <w:sz w:val="26"/>
          <w:szCs w:val="26"/>
        </w:rPr>
        <w:t xml:space="preserve">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Пензенской области, замещающие должности государственной гражданской службы Пензенской области в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Министерстве по тарифному регулированию и государственным закупкам Пензенской области (далее - гражданские служащие, Министерство), за исключением гражданских служащих, назначаемых на должность и освобождаемых от должности Губернатором Пензенской области.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Ка</w:t>
      </w:r>
      <w:r>
        <w:rPr>
          <w:rFonts w:ascii="Times New Roman" w:hAnsi="Times New Roman" w:cs="Times New Roman"/>
          <w:sz w:val="26"/>
          <w:szCs w:val="26"/>
        </w:rPr>
        <w:t xml:space="preserve">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настоящего Кодекса.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Целью Кодекса является установление этических норм и правил служебного пове</w:t>
      </w:r>
      <w:r>
        <w:rPr>
          <w:rFonts w:ascii="Times New Roman" w:hAnsi="Times New Roman" w:cs="Times New Roman"/>
          <w:sz w:val="26"/>
          <w:szCs w:val="26"/>
        </w:rPr>
        <w:t xml:space="preserve">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Кодекс призван повысить эффективность выполнения гражданскими служащими своих должностных обязанностей.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Кодекс служит основой для формирования должной морали в сфере государ</w:t>
      </w:r>
      <w:r>
        <w:rPr>
          <w:rFonts w:ascii="Times New Roman" w:hAnsi="Times New Roman" w:cs="Times New Roman"/>
          <w:sz w:val="26"/>
          <w:szCs w:val="26"/>
        </w:rPr>
        <w:t xml:space="preserve">ственной гражданской службы Пензенской области (далее - гражданская служба), уважительного отношения к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Гражданин Российской Федерации, поступающий на гражданскую службу, обязан ознакомиться с положениями Кодекса и соблюдать их в процессе своей служебной деятельности.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Знание и соблюдение гражданским служащим положений Кодекса является одним из критериев оценки качества его профессиональной деятельности и служебного поведения.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2. Основные принципы и правила служебного поведения</w:t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гражданских служащих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Гражданские служащие, сознавая ответственность перед государством, обществом и гражданами, призваны: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государственных органов и гражданских служащих;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осуществлять свою деятельность в пределах полномочий соответствующего государственного органа;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обеспечивать равное, беспристрастное отношение ко всем физическим</w:t>
      </w:r>
      <w:r>
        <w:rPr>
          <w:rFonts w:ascii="Times New Roman" w:hAnsi="Times New Roman" w:cs="Times New Roman"/>
          <w:sz w:val="26"/>
          <w:szCs w:val="26"/>
        </w:rPr>
        <w:t xml:space="preserve">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соблюдать нейтральность, исключающую возможность влияния на их служебную деятельность решений политических партий, других общественных объединений, религиозных объединений и иных организаций;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соблюдать нормы служебной, профессиональной этики и правила делового поведения;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проявлять корректность и внимательность в обращении с гражданами и должностными лицами (в том числе с целью проявления </w:t>
      </w:r>
      <w:r>
        <w:rPr>
          <w:rFonts w:ascii="Times New Roman" w:hAnsi="Times New Roman" w:cs="Times New Roman"/>
          <w:sz w:val="26"/>
          <w:szCs w:val="26"/>
        </w:rPr>
        <w:t xml:space="preserve">уважения уточнять, как обращаться к собеседнику, проявлять вежливость, доброжелательность, заинтересованность к вопросу собеседника, не перебивать собеседника в процессе разговора, почтительно относиться к людям старшего возраста, пенсионерам и инвалидам);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проявлять уважение к нравственным обычаям и традициям народов Российской Федерации, учитывать культурные и иные особенности различных этнических и социальных групп, а также конфессий, способствовать межнациональному и межконфессиональному согласию;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воздерживаться от поведения, которое могло бы вызвать сомнение в объективном исполнении гражданскими служащими должностн</w:t>
      </w:r>
      <w:r>
        <w:rPr>
          <w:rFonts w:ascii="Times New Roman" w:hAnsi="Times New Roman" w:cs="Times New Roman"/>
          <w:sz w:val="26"/>
          <w:szCs w:val="26"/>
        </w:rPr>
        <w:t xml:space="preserve">ых обязанностей, в том числе поведения, которое может быть воспринято окружающими как согласие принять взятку или как просьба о даче взятки, а также избегать конфликтных ситуаций, способных нанести ущерб их репутации или авторитету государственного органа;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гражданских служащих, муниципальных служащих и граждан при решении вопросов личного характера;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гражданского служащего;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соблюдать установленные в государственном органе правила публичных выступлений и предоставления служебной информации;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 в установленном порядке;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r>
        <w:rPr>
          <w:rFonts w:ascii="Times New Roman" w:hAnsi="Times New Roman" w:cs="Times New Roman"/>
          <w:sz w:val="26"/>
          <w:szCs w:val="26"/>
        </w:rPr>
        <w:t xml:space="preserve">объектов</w:t>
      </w:r>
      <w:r>
        <w:rPr>
          <w:rFonts w:ascii="Times New Roman" w:hAnsi="Times New Roman" w:cs="Times New Roman"/>
          <w:sz w:val="26"/>
          <w:szCs w:val="26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</w:t>
      </w:r>
      <w:r>
        <w:rPr>
          <w:rFonts w:ascii="Times New Roman" w:hAnsi="Times New Roman" w:cs="Times New Roman"/>
          <w:sz w:val="26"/>
          <w:szCs w:val="26"/>
        </w:rPr>
        <w:t xml:space="preserve">рственных 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постоянно стремиться к обеспечению как можно более эффективного распоряжения ресурсами, находящимися в сфере их ответственности.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Гражданский служащий обязан соблюдать </w:t>
      </w:r>
      <w:hyperlink r:id="rId19" w:tooltip="https://login.consultant.ru/link/?req=doc&amp;base=LAW&amp;n=2875" w:history="1">
        <w:r>
          <w:rPr>
            <w:rFonts w:ascii="Times New Roman" w:hAnsi="Times New Roman" w:cs="Times New Roman"/>
            <w:sz w:val="26"/>
            <w:szCs w:val="26"/>
          </w:rPr>
          <w:t xml:space="preserve">Конституцию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</w:t>
      </w:r>
      <w:hyperlink r:id="rId20" w:tooltip="https://login.consultant.ru/link/?req=doc&amp;base=RLAW021&amp;n=181146" w:history="1">
        <w:r>
          <w:rPr>
            <w:rFonts w:ascii="Times New Roman" w:hAnsi="Times New Roman" w:cs="Times New Roman"/>
            <w:sz w:val="26"/>
            <w:szCs w:val="26"/>
          </w:rPr>
          <w:t xml:space="preserve">Устав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Пензенской области, законы Пензенской области, иные нормативные правовые акты Российской Федерации и Пензенской области.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Гражданский служащий в своей деятельности не должен допускать нарушений законов и иных нормативных правовых актов, исходя из политической, экономической целесообразности либо по иным мотивам.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Гражданский служащий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Гражданский служащий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на до</w:t>
      </w:r>
      <w:r>
        <w:rPr>
          <w:rFonts w:ascii="Times New Roman" w:hAnsi="Times New Roman" w:cs="Times New Roman"/>
          <w:sz w:val="26"/>
          <w:szCs w:val="26"/>
        </w:rPr>
        <w:t xml:space="preserve">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>
        <w:rPr>
          <w:rFonts w:ascii="Times New Roman" w:hAnsi="Times New Roman" w:cs="Times New Roman"/>
          <w:sz w:val="26"/>
          <w:szCs w:val="26"/>
        </w:rPr>
        <w:t xml:space="preserve">Гражданский служащий обязан представлять сведения о доходах, об имуществе и обязательствах имущественного характера, предусмотренные Федеральным законом от 25.12.2008 № 273-ФЗ, при назначении на должность, если иное н</w:t>
      </w:r>
      <w:r>
        <w:rPr>
          <w:rFonts w:ascii="Times New Roman" w:hAnsi="Times New Roman" w:cs="Times New Roman"/>
          <w:sz w:val="26"/>
          <w:szCs w:val="26"/>
        </w:rPr>
        <w:t xml:space="preserve">е установлено федеральным законом, и впоследствии в случае возникновения у гражданского служащего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</w:t>
      </w:r>
      <w:r>
        <w:rPr>
          <w:rFonts w:ascii="Times New Roman" w:hAnsi="Times New Roman" w:cs="Times New Roman"/>
          <w:sz w:val="26"/>
          <w:szCs w:val="26"/>
        </w:rPr>
        <w:t xml:space="preserve">, замещающих государственные должности, и иных лиц </w:t>
      </w:r>
      <w:r>
        <w:rPr>
          <w:rFonts w:ascii="Times New Roman" w:hAnsi="Times New Roman" w:cs="Times New Roman"/>
          <w:sz w:val="26"/>
          <w:szCs w:val="26"/>
        </w:rPr>
        <w:t xml:space="preserve">их доходам» в сроки, установлен</w:t>
      </w:r>
      <w:r>
        <w:rPr>
          <w:rFonts w:ascii="Times New Roman" w:hAnsi="Times New Roman" w:cs="Times New Roman"/>
          <w:sz w:val="26"/>
          <w:szCs w:val="26"/>
        </w:rPr>
        <w:t xml:space="preserve">ные законодательством.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.7. Гражданский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</w:t>
      </w:r>
      <w:r>
        <w:rPr>
          <w:rFonts w:ascii="Times New Roman" w:hAnsi="Times New Roman" w:cs="Times New Roman"/>
          <w:sz w:val="26"/>
          <w:szCs w:val="26"/>
        </w:rPr>
        <w:t xml:space="preserve">Гражданский служащий обязан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</w:t>
      </w:r>
      <w:r>
        <w:rPr>
          <w:rFonts w:ascii="Times New Roman" w:hAnsi="Times New Roman" w:cs="Times New Roman"/>
          <w:sz w:val="26"/>
          <w:szCs w:val="26"/>
        </w:rPr>
        <w:t xml:space="preserve">ента, подтверждающего право на постоянное проживание гражданина на территории иностранного государства, в день, когда государственному служащему стало известно об этом, но не позднее пяти рабочих дней со дня прекращения гражданства Российской Федерации или</w:t>
      </w:r>
      <w:r>
        <w:rPr>
          <w:rFonts w:ascii="Times New Roman" w:hAnsi="Times New Roman" w:cs="Times New Roman"/>
          <w:sz w:val="26"/>
          <w:szCs w:val="26"/>
        </w:rPr>
        <w:t xml:space="preserve">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Гражданский служащий, имеющий гражданство (подданство) иностранного государства, которое не прекращено по независящим от него причинам, замещающий должность в соответствии со </w:t>
      </w:r>
      <w:hyperlink r:id="rId21" w:tooltip="https://login.consultant.ru/link/?req=doc&amp;base=LAW&amp;n=436425&amp;dst=100285" w:history="1">
        <w:r>
          <w:rPr>
            <w:rFonts w:ascii="Times New Roman" w:hAnsi="Times New Roman" w:cs="Times New Roman"/>
            <w:sz w:val="26"/>
            <w:szCs w:val="26"/>
          </w:rPr>
          <w:t xml:space="preserve">статьей 26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30.04.2021 № 116-ФЗ «О внесении изменений в отдельные законодательные акты Российской Федерации», призван: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принимать все возможные меры, направленные на прекращение гражданства (подданства) иностранного государства;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воздерживаться от получения документов, удостоверяющих личность граж</w:t>
      </w:r>
      <w:r>
        <w:rPr>
          <w:rFonts w:ascii="Times New Roman" w:hAnsi="Times New Roman" w:cs="Times New Roman"/>
          <w:sz w:val="26"/>
          <w:szCs w:val="26"/>
        </w:rPr>
        <w:t xml:space="preserve">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 Гражданскому служащему запрещается получать в связи с исполнением им должностных обязанностей вознаграждения от физических и юридических лиц (п</w:t>
      </w:r>
      <w:r>
        <w:rPr>
          <w:rFonts w:ascii="Times New Roman" w:hAnsi="Times New Roman" w:cs="Times New Roman"/>
          <w:sz w:val="26"/>
          <w:szCs w:val="26"/>
        </w:rPr>
        <w:t xml:space="preserve">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</w:t>
      </w:r>
      <w:r>
        <w:rPr>
          <w:rFonts w:ascii="Times New Roman" w:hAnsi="Times New Roman" w:cs="Times New Roman"/>
          <w:sz w:val="26"/>
          <w:szCs w:val="26"/>
        </w:rPr>
        <w:t xml:space="preserve">мероприятиями, признаются собственностью Пензенской области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законодательством Российской Федерации.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 Гражданскому служащему запрещается принимать без письменного разрешения представителя нанимателя награды, почетные и специальные звания (за искл</w:t>
      </w:r>
      <w:r>
        <w:rPr>
          <w:rFonts w:ascii="Times New Roman" w:hAnsi="Times New Roman" w:cs="Times New Roman"/>
          <w:sz w:val="26"/>
          <w:szCs w:val="26"/>
        </w:rPr>
        <w:t xml:space="preserve">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Гражданскому служащему запрещается участвовать в управлении коммерческой или некоммерческой организацией, за исключением случаев, предусмотренных </w:t>
      </w:r>
      <w:hyperlink r:id="rId22" w:tooltip="https://login.consultant.ru/link/?req=doc&amp;base=LAW&amp;n=449628&amp;dst=344" w:history="1">
        <w:r>
          <w:rPr>
            <w:rFonts w:ascii="Times New Roman" w:hAnsi="Times New Roman" w:cs="Times New Roman"/>
            <w:sz w:val="26"/>
            <w:szCs w:val="26"/>
          </w:rPr>
          <w:t xml:space="preserve">пунктом 3 части 1 статьи 17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№ 79-ФЗ.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Гражданскому служащему запрещается заниматься предпринимательской деятельностью лично или через доверенных лиц.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Гражданскому служащему запрещается входить в состав орг</w:t>
      </w:r>
      <w:r>
        <w:rPr>
          <w:rFonts w:ascii="Times New Roman" w:hAnsi="Times New Roman" w:cs="Times New Roman"/>
          <w:sz w:val="26"/>
          <w:szCs w:val="26"/>
        </w:rPr>
        <w:t xml:space="preserve">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а также заниматься без письменного разрешения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или законодательством Российской Федерации.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если владение гражданским служащим ценными бумагами (долями участия, паями в уставных (складочных) капиталах организаций) приводит или може</w:t>
      </w:r>
      <w:r>
        <w:rPr>
          <w:rFonts w:ascii="Times New Roman" w:hAnsi="Times New Roman" w:cs="Times New Roman"/>
          <w:sz w:val="26"/>
          <w:szCs w:val="26"/>
        </w:rPr>
        <w:t xml:space="preserve">т привести к конфликту интересов, он обязан передать принадлежащие ему указанные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</w:t>
      </w:r>
      <w:r>
        <w:rPr>
          <w:rFonts w:ascii="Times New Roman" w:hAnsi="Times New Roman" w:cs="Times New Roman"/>
          <w:sz w:val="26"/>
          <w:szCs w:val="26"/>
        </w:rPr>
        <w:t xml:space="preserve">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23" w:tooltip="https://login.consultant.ru/link/?req=doc&amp;base=LAW&amp;n=385032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</w:t>
      </w:r>
      <w:r>
        <w:rPr>
          <w:rFonts w:ascii="Times New Roman" w:hAnsi="Times New Roman" w:cs="Times New Roman"/>
          <w:sz w:val="26"/>
          <w:szCs w:val="26"/>
        </w:rPr>
        <w:t xml:space="preserve"> в иностранных банках, расположенных за пределами территории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Федерации, владеть и (или) пользоваться иностранными финансовыми инструментами» (далее - Федеральный закон от 07.05.2013 № 79-ФЗ). При этом понятие «иностранные финансовые инструменты» используется в настоящем Кодексе в значении, определенном Федеральным </w:t>
      </w:r>
      <w:hyperlink r:id="rId24" w:tooltip="https://login.consultant.ru/link/?req=doc&amp;base=LAW&amp;n=385032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07.05.2013 № 79-ФЗ.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Гражданский слу</w:t>
      </w:r>
      <w:r>
        <w:rPr>
          <w:rFonts w:ascii="Times New Roman" w:hAnsi="Times New Roman" w:cs="Times New Roman"/>
          <w:sz w:val="26"/>
          <w:szCs w:val="26"/>
        </w:rPr>
        <w:t xml:space="preserve">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Гражданский служащий, наделенный организационно-распорядительными полномочиями по отн</w:t>
      </w:r>
      <w:r>
        <w:rPr>
          <w:rFonts w:ascii="Times New Roman" w:hAnsi="Times New Roman" w:cs="Times New Roman"/>
          <w:sz w:val="26"/>
          <w:szCs w:val="26"/>
        </w:rPr>
        <w:t xml:space="preserve">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создания в коллективе морально-психологического климата гражданский служащий, наделенный организационно-распорядительными полномочиями по </w:t>
      </w:r>
      <w:r>
        <w:rPr>
          <w:rFonts w:ascii="Times New Roman" w:hAnsi="Times New Roman" w:cs="Times New Roman"/>
          <w:sz w:val="26"/>
          <w:szCs w:val="26"/>
        </w:rPr>
        <w:t xml:space="preserve">отношению к другим гражданским служащим, должен проявлять заботу о подчиненных, мотивировать и контролировать их ответственность за качественное и своевременное выполнение задач, а также поощрять энтузиазм и эффективность деятельности гражданских служащих.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Поведение гражданского служащего, наделенного организационно-распорядительными полномочиями по отношению к другим гражданским служащим, прове</w:t>
      </w:r>
      <w:r>
        <w:rPr>
          <w:rFonts w:ascii="Times New Roman" w:hAnsi="Times New Roman" w:cs="Times New Roman"/>
          <w:sz w:val="26"/>
          <w:szCs w:val="26"/>
        </w:rPr>
        <w:t xml:space="preserve">дение им разъяснительной работы в коллективе должны способствовать развитию доверия и инициативы гражданских служащих, их сопричастности к достижениям всего коллектива и повышению эффективности и результативности их профессиональной служебной деятельности.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Гражданский служащий, наделенный организационно-распорядительными полномочиями по отношению к другим гражданским служащим, в своей служебной деятельности должен осуществлять взаимосвязь с подчиненными, включающую в себя: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индивидуальный подход к каждому гражданскому служащему с учетом особенностей его характера, квалификации и отношения к делу;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сохранение эмоционального спокойствия по отношению к подчиненным;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оказание помощи гражданским служащим в самостоятельной реализации поставленных перед ними задач;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выражение благодарности подчиненным за хорошую работу;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постоянное поддержание заинтересованности подчиненных в результатах их деятельности;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внимательное обсуждение замечаний и предложений подчиненных;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совместный анализ результатов деятельности, в том числе причин неудач;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определение перспектив карьерного развития гражданских служащих, их «сильных» и «слабых» сторон в профессиональной служебной деятельности.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Гражданский служащий, наделенный организационно-распорядительными полномочиями по отношению к другим гражданским служащим, должен постоянно осуществлять оценку достигнутых результатов и при необходимости вносить коррективы в свою работу с подчиненными.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Гражданский служащий, наделенный организационно-распорядительными полномочиями по отношению к другим гражданским служащим, призван: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принимать меры по предотвращению и урегулированию конфликтов интересов;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принимать меры по предупреждению коррупции;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допускать случаев принуждения гражданских служащих к участию в деятельности политических партий и общественных объединений.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2.16. Гражданский служащий, наделенный организационно-распорядительными полномочиями по отношению к другим гражданским служащим, несет ответствен</w:t>
      </w:r>
      <w:r>
        <w:rPr>
          <w:rFonts w:ascii="Times New Roman" w:hAnsi="Times New Roman" w:cs="Times New Roman"/>
          <w:sz w:val="26"/>
          <w:szCs w:val="26"/>
        </w:rPr>
        <w:t xml:space="preserve">ность в соответствии с законодательством Российской Федерации за действия или бездействие подчиненных ему гражданских служащих, нарушающих этические нормы и правила служебного поведения, если он не принял меры по недопущению таких действий или бездействия.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3. Рекомендательные этические правила служебного поведения</w:t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гражданских служащих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r>
        <w:rPr>
          <w:rFonts w:ascii="Times New Roman" w:hAnsi="Times New Roman" w:cs="Times New Roman"/>
          <w:sz w:val="26"/>
          <w:szCs w:val="26"/>
        </w:rPr>
        <w:t xml:space="preserve">ценностью</w:t>
      </w:r>
      <w:r>
        <w:rPr>
          <w:rFonts w:ascii="Times New Roman" w:hAnsi="Times New Roman" w:cs="Times New Roman"/>
          <w:sz w:val="26"/>
          <w:szCs w:val="26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В служебном поведении гражданский служащий воздерживается </w:t>
      </w:r>
      <w:r>
        <w:rPr>
          <w:rFonts w:ascii="Times New Roman" w:hAnsi="Times New Roman" w:cs="Times New Roman"/>
          <w:sz w:val="26"/>
          <w:szCs w:val="26"/>
        </w:rPr>
        <w:t xml:space="preserve">от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курения во время служебных совещаний, бесед, иного служебного общения с гражданами.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Гражданский служащий должен быть вежливым, доброжелательным, корректным, внимательным и проявлять терпимость в общении с гражданами и коллегами.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Гражданские служащие при взаимодействии друг с другом должны: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проявлять уважение, исключая обращение на «ты» без взаимного согласия;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соблюдать субординацию;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самостоятельно </w:t>
      </w:r>
      <w:r>
        <w:rPr>
          <w:rFonts w:ascii="Times New Roman" w:hAnsi="Times New Roman" w:cs="Times New Roman"/>
          <w:sz w:val="26"/>
          <w:szCs w:val="26"/>
        </w:rPr>
        <w:t xml:space="preserve">осуществлять свои должностные обязанности</w:t>
      </w:r>
      <w:r>
        <w:rPr>
          <w:rFonts w:ascii="Times New Roman" w:hAnsi="Times New Roman" w:cs="Times New Roman"/>
          <w:sz w:val="26"/>
          <w:szCs w:val="26"/>
        </w:rPr>
        <w:t xml:space="preserve">, исключая перекладывание своих должностных обязанностей на коллег;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проявлять сдержанность и стрессоустойчивость;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допускать обсуждения личных и профессиональных каче</w:t>
      </w:r>
      <w:r>
        <w:rPr>
          <w:rFonts w:ascii="Times New Roman" w:hAnsi="Times New Roman" w:cs="Times New Roman"/>
          <w:sz w:val="26"/>
          <w:szCs w:val="26"/>
        </w:rPr>
        <w:t xml:space="preserve">ств гр</w:t>
      </w:r>
      <w:r>
        <w:rPr>
          <w:rFonts w:ascii="Times New Roman" w:hAnsi="Times New Roman" w:cs="Times New Roman"/>
          <w:sz w:val="26"/>
          <w:szCs w:val="26"/>
        </w:rPr>
        <w:t xml:space="preserve">ажданских служащих в коллективе;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оказывать содействие в формировании взаимопонимания, взаимопомощи и доброжелательности в коллективе.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В целях поддержания порядка, деловой атмосферы в служебных помещениях гражданский служащий должен содержать свое рабочее место в надлежащем состоянии, не допускать беспорядка в рабочей документации.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Внешний вид гражданского служащего при исполнении им должностных обязанностей в зависимос</w:t>
      </w:r>
      <w:r>
        <w:rPr>
          <w:rFonts w:ascii="Times New Roman" w:hAnsi="Times New Roman" w:cs="Times New Roman"/>
          <w:sz w:val="26"/>
          <w:szCs w:val="26"/>
        </w:rPr>
        <w:t xml:space="preserve">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Гражданскому служащему рекомендуется отдавать предпочтение в женской одежде костюмам, платьям, юбкам, брюкам, блузкам.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Гражданскому служащему рекомендуется отдавать предпочтение в мужской одежде костюму, брюкам, рубашке, галстуку, туфлям, летом - сорочке с коротким рукавом без пиджака и галстука.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Нежелательно ношение гражданским служащим в служебное время шорт, сарафанов, теннисок, свитеров, кроссовок, кед, наличие на открытых участках тела татуировок и пирсинга.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4. Ответственность за нарушение положений Кодекса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Нарушение гражданским служащим положений Кодекса подлежит моральному осуждению, а в случаях, предусмотренных федеральными законами, влечет применение к гражданскому служащему мер юридической ответственности.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Вопросы, связанные с соблюдением гражданским служащим ограничений и запретов, требований о предотвращении или об урегулировании конфликта интересов, исполнением им обязанностей, установленных в целях противодействия коррупции Федеральным </w:t>
      </w:r>
      <w:hyperlink r:id="rId25" w:tooltip="https://login.consultant.ru/link/?req=doc&amp;base=LAW&amp;n=449673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25.12.2008 № 273-ФЗ и другими федеральными законами</w:t>
      </w:r>
      <w:r>
        <w:rPr>
          <w:rFonts w:ascii="Times New Roman" w:hAnsi="Times New Roman" w:cs="Times New Roman"/>
          <w:sz w:val="26"/>
          <w:szCs w:val="26"/>
        </w:rPr>
        <w:t xml:space="preserve">, рассматриваются Комиссией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в Министерстве по тарифному регулированию и государственным закупкам   Пензенской области.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Соблюдение гражданским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center"/>
      </w:pPr>
      <w:r>
        <w:rPr>
          <w:sz w:val="26"/>
          <w:szCs w:val="26"/>
        </w:rPr>
        <w:t xml:space="preserve">___________________________</w:t>
      </w:r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7"/>
    <w:next w:val="41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7"/>
    <w:next w:val="41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7"/>
    <w:next w:val="41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7"/>
    <w:next w:val="41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7"/>
    <w:next w:val="41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7"/>
    <w:next w:val="41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7"/>
    <w:next w:val="41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7"/>
    <w:next w:val="41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7"/>
    <w:next w:val="41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7"/>
    <w:next w:val="41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8"/>
    <w:link w:val="32"/>
    <w:uiPriority w:val="10"/>
    <w:rPr>
      <w:sz w:val="48"/>
      <w:szCs w:val="48"/>
    </w:rPr>
  </w:style>
  <w:style w:type="paragraph" w:styleId="34">
    <w:name w:val="Subtitle"/>
    <w:basedOn w:val="417"/>
    <w:next w:val="41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8"/>
    <w:link w:val="34"/>
    <w:uiPriority w:val="11"/>
    <w:rPr>
      <w:sz w:val="24"/>
      <w:szCs w:val="24"/>
    </w:rPr>
  </w:style>
  <w:style w:type="paragraph" w:styleId="36">
    <w:name w:val="Quote"/>
    <w:basedOn w:val="417"/>
    <w:next w:val="41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7"/>
    <w:next w:val="41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8"/>
    <w:link w:val="40"/>
    <w:uiPriority w:val="99"/>
  </w:style>
  <w:style w:type="paragraph" w:styleId="42">
    <w:name w:val="Footer"/>
    <w:basedOn w:val="41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8"/>
    <w:link w:val="42"/>
    <w:uiPriority w:val="99"/>
  </w:style>
  <w:style w:type="paragraph" w:styleId="44">
    <w:name w:val="Caption"/>
    <w:basedOn w:val="417"/>
    <w:next w:val="4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1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8"/>
    <w:uiPriority w:val="99"/>
    <w:unhideWhenUsed/>
    <w:rPr>
      <w:vertAlign w:val="superscript"/>
    </w:rPr>
  </w:style>
  <w:style w:type="paragraph" w:styleId="176">
    <w:name w:val="endnote text"/>
    <w:basedOn w:val="41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8"/>
    <w:uiPriority w:val="99"/>
    <w:semiHidden/>
    <w:unhideWhenUsed/>
    <w:rPr>
      <w:vertAlign w:val="superscript"/>
    </w:rPr>
  </w:style>
  <w:style w:type="paragraph" w:styleId="179">
    <w:name w:val="toc 1"/>
    <w:basedOn w:val="417"/>
    <w:next w:val="41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7"/>
    <w:next w:val="41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7"/>
    <w:next w:val="41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7"/>
    <w:next w:val="41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7"/>
    <w:next w:val="41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7"/>
    <w:next w:val="41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7"/>
    <w:next w:val="41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7"/>
    <w:next w:val="41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7"/>
    <w:next w:val="41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7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18" w:default="1">
    <w:name w:val="Default Paragraph Font"/>
    <w:uiPriority w:val="1"/>
    <w:semiHidden/>
    <w:unhideWhenUsed/>
  </w:style>
  <w:style w:type="table" w:styleId="4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0" w:default="1">
    <w:name w:val="No List"/>
    <w:uiPriority w:val="99"/>
    <w:semiHidden/>
    <w:unhideWhenUsed/>
  </w:style>
  <w:style w:type="character" w:styleId="421">
    <w:name w:val="Hyperlink"/>
    <w:rPr>
      <w:color w:val="0000FF"/>
      <w:u w:val="single"/>
    </w:rPr>
  </w:style>
  <w:style w:type="paragraph" w:styleId="422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23">
    <w:name w:val="Balloon Text"/>
    <w:basedOn w:val="417"/>
    <w:link w:val="424"/>
    <w:uiPriority w:val="99"/>
    <w:semiHidden/>
    <w:unhideWhenUsed/>
    <w:rPr>
      <w:rFonts w:ascii="Tahoma" w:hAnsi="Tahoma" w:cs="Tahoma"/>
      <w:sz w:val="16"/>
      <w:szCs w:val="16"/>
    </w:rPr>
  </w:style>
  <w:style w:type="character" w:styleId="424" w:customStyle="1">
    <w:name w:val="Текст выноски Знак"/>
    <w:basedOn w:val="418"/>
    <w:link w:val="423"/>
    <w:uiPriority w:val="99"/>
    <w:semiHidden/>
    <w:rPr>
      <w:rFonts w:ascii="Tahoma" w:hAnsi="Tahoma" w:cs="Tahoma" w:eastAsia="Times New Roman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login.consultant.ru/link/?req=doc&amp;base=RLAW021&amp;n=181874&amp;dst=100014" TargetMode="External"/><Relationship Id="rId11" Type="http://schemas.openxmlformats.org/officeDocument/2006/relationships/hyperlink" Target="www.pravo.gov.ru" TargetMode="External"/><Relationship Id="rId12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319" TargetMode="External"/><Relationship Id="rId14" Type="http://schemas.openxmlformats.org/officeDocument/2006/relationships/hyperlink" Target="https://login.consultant.ru/link/?req=doc&amp;base=LAW&amp;n=449628" TargetMode="External"/><Relationship Id="rId15" Type="http://schemas.openxmlformats.org/officeDocument/2006/relationships/hyperlink" Target="https://login.consultant.ru/link/?req=doc&amp;base=LAW&amp;n=449673" TargetMode="External"/><Relationship Id="rId16" Type="http://schemas.openxmlformats.org/officeDocument/2006/relationships/hyperlink" Target="https://login.consultant.ru/link/?req=doc&amp;base=LAW&amp;n=393702" TargetMode="External"/><Relationship Id="rId17" Type="http://schemas.openxmlformats.org/officeDocument/2006/relationships/hyperlink" Target="https://login.consultant.ru/link/?req=doc&amp;base=RLAW021&amp;n=192110" TargetMode="External"/><Relationship Id="rId18" Type="http://schemas.openxmlformats.org/officeDocument/2006/relationships/hyperlink" Target="https://login.consultant.ru/link/?req=doc&amp;base=RLAW021&amp;n=192940" TargetMode="External"/><Relationship Id="rId19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RLAW021&amp;n=181146" TargetMode="External"/><Relationship Id="rId21" Type="http://schemas.openxmlformats.org/officeDocument/2006/relationships/hyperlink" Target="https://login.consultant.ru/link/?req=doc&amp;base=LAW&amp;n=436425&amp;dst=100285" TargetMode="External"/><Relationship Id="rId22" Type="http://schemas.openxmlformats.org/officeDocument/2006/relationships/hyperlink" Target="https://login.consultant.ru/link/?req=doc&amp;base=LAW&amp;n=449628&amp;dst=344" TargetMode="External"/><Relationship Id="rId23" Type="http://schemas.openxmlformats.org/officeDocument/2006/relationships/hyperlink" Target="https://login.consultant.ru/link/?req=doc&amp;base=LAW&amp;n=385032" TargetMode="External"/><Relationship Id="rId24" Type="http://schemas.openxmlformats.org/officeDocument/2006/relationships/hyperlink" Target="https://login.consultant.ru/link/?req=doc&amp;base=LAW&amp;n=385032" TargetMode="External"/><Relationship Id="rId25" Type="http://schemas.openxmlformats.org/officeDocument/2006/relationships/hyperlink" Target="https://login.consultant.ru/link/?req=doc&amp;base=LAW&amp;n=44967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2026-02-26T06:06:00Z</dcterms:created>
  <dcterms:modified xsi:type="dcterms:W3CDTF">2026-06-26T11:52:35Z</dcterms:modified>
</cp:coreProperties>
</file>