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  <w:sz w:val="28"/>
          <w:szCs w:val="20"/>
          <w:lang w:eastAsia="ru-RU"/>
        </w:rPr>
      </w:pPr>
      <w:r>
        <w:rPr>
          <w:b/>
          <w:sz w:val="28"/>
          <w:szCs w:val="20"/>
          <w:lang w:eastAsia="ru-RU"/>
        </w:rP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2633345</wp:posOffset>
                </wp:positionH>
                <wp:positionV relativeFrom="paragraph">
                  <wp:posOffset>-594360</wp:posOffset>
                </wp:positionV>
                <wp:extent cx="720090" cy="955675"/>
                <wp:effectExtent l="0" t="0" r="3810" b="0"/>
                <wp:wrapSquare wrapText="bothSides"/>
                <wp:docPr id="1" name="Рисунок 1" descr="Герб ППО (вектор) черная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2" descr="Герб ППО (вектор) черная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720090" cy="955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mso-wrap-distance-left:9.0pt;mso-wrap-distance-top:0.0pt;mso-wrap-distance-right:9.0pt;mso-wrap-distance-bottom:0.0pt;z-index:251659264;o:allowoverlap:true;o:allowincell:true;mso-position-horizontal-relative:margin;margin-left:207.3pt;mso-position-horizontal:absolute;mso-position-vertical-relative:text;margin-top:-46.8pt;mso-position-vertical:absolute;width:56.7pt;height:75.3pt;">
                <v:path textboxrect="0,0,0,0"/>
                <v:imagedata r:id="rId9" o:title=""/>
              </v:shape>
            </w:pict>
          </mc:Fallback>
        </mc:AlternateContent>
      </w:r>
      <w:r/>
    </w:p>
    <w:tbl>
      <w:tblPr>
        <w:tblW w:w="10180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80"/>
      </w:tblGrid>
      <w:tr>
        <w:trPr>
          <w:jc w:val="center"/>
          <w:trHeight w:val="250" w:hRule="exact"/>
        </w:trPr>
        <w:tc>
          <w:tcPr>
            <w:tcW w:w="10180" w:type="dxa"/>
            <w:textDirection w:val="lrTb"/>
            <w:noWrap w:val="false"/>
          </w:tcPr>
          <w:p>
            <w:pPr>
              <w:jc w:val="center"/>
              <w:rPr>
                <w:b/>
                <w:sz w:val="28"/>
                <w:szCs w:val="20"/>
                <w:lang w:eastAsia="ru-RU"/>
              </w:rPr>
            </w:pPr>
            <w:r>
              <w:rPr>
                <w:b/>
                <w:sz w:val="28"/>
                <w:szCs w:val="20"/>
                <w:lang w:eastAsia="ru-RU"/>
              </w:rPr>
            </w:r>
            <w:r/>
          </w:p>
        </w:tc>
      </w:tr>
      <w:tr>
        <w:trPr>
          <w:jc w:val="center"/>
          <w:trHeight w:val="408"/>
        </w:trPr>
        <w:tc>
          <w:tcPr>
            <w:tcW w:w="10180" w:type="dxa"/>
            <w:textDirection w:val="lrTb"/>
            <w:noWrap w:val="false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МИНИСТЕРСТВО </w:t>
            </w:r>
            <w:r>
              <w:rPr>
                <w:b/>
                <w:sz w:val="28"/>
                <w:szCs w:val="28"/>
              </w:rPr>
              <w:t xml:space="preserve">ПО ТАРИФНОМУ РЕГУЛИРОВАНИЮ</w:t>
            </w:r>
            <w:r>
              <w:rPr>
                <w:b/>
                <w:sz w:val="28"/>
                <w:szCs w:val="28"/>
              </w:rPr>
              <w:t xml:space="preserve"> </w:t>
            </w:r>
            <w:r/>
          </w:p>
          <w:p>
            <w:pPr>
              <w:jc w:val="center"/>
              <w:rPr>
                <w:b/>
                <w:sz w:val="36"/>
                <w:szCs w:val="20"/>
                <w:lang w:eastAsia="ru-RU"/>
              </w:rPr>
            </w:pPr>
            <w:r>
              <w:rPr>
                <w:b/>
                <w:sz w:val="28"/>
                <w:szCs w:val="28"/>
              </w:rPr>
              <w:t xml:space="preserve">И</w:t>
            </w:r>
            <w:r>
              <w:rPr>
                <w:b/>
                <w:sz w:val="28"/>
                <w:szCs w:val="20"/>
                <w:lang w:eastAsia="ru-RU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ГОСУДАРСТВЕННЫМ ЗАКУПКАМ</w:t>
            </w:r>
            <w:r>
              <w:rPr>
                <w:b/>
                <w:sz w:val="28"/>
                <w:szCs w:val="20"/>
                <w:lang w:eastAsia="ru-RU"/>
              </w:rPr>
              <w:t xml:space="preserve"> ПЕНЗЕНСКОЙ ОБЛАСТИ</w:t>
            </w:r>
            <w:r/>
          </w:p>
        </w:tc>
      </w:tr>
      <w:tr>
        <w:trPr>
          <w:jc w:val="center"/>
          <w:trHeight w:val="408"/>
        </w:trPr>
        <w:tc>
          <w:tcPr>
            <w:tcW w:w="10180" w:type="dxa"/>
            <w:textDirection w:val="lrTb"/>
            <w:noWrap w:val="false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  <w:r/>
          </w:p>
        </w:tc>
      </w:tr>
      <w:tr>
        <w:trPr>
          <w:jc w:val="center"/>
          <w:trHeight w:val="250" w:hRule="exact"/>
        </w:trPr>
        <w:tc>
          <w:tcPr>
            <w:tcW w:w="10180" w:type="dxa"/>
            <w:textDirection w:val="lrTb"/>
            <w:noWrap w:val="false"/>
          </w:tcPr>
          <w:p>
            <w:pPr>
              <w:jc w:val="center"/>
              <w:spacing w:after="120" w:before="12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</w:r>
            <w:r/>
          </w:p>
        </w:tc>
      </w:tr>
      <w:tr>
        <w:trPr>
          <w:jc w:val="center"/>
          <w:trHeight w:val="375"/>
        </w:trPr>
        <w:tc>
          <w:tcPr>
            <w:tcW w:w="10180" w:type="dxa"/>
            <w:textDirection w:val="lrTb"/>
            <w:noWrap w:val="false"/>
          </w:tcPr>
          <w:p>
            <w:pPr>
              <w:jc w:val="center"/>
              <w:keepNext/>
              <w:spacing w:after="240" w:before="120"/>
              <w:rPr>
                <w:b/>
                <w:sz w:val="32"/>
                <w:szCs w:val="32"/>
                <w:lang w:eastAsia="ru-RU"/>
              </w:rPr>
              <w:outlineLvl w:val="2"/>
            </w:pPr>
            <w:r>
              <w:rPr>
                <w:b/>
                <w:sz w:val="32"/>
                <w:szCs w:val="32"/>
                <w:lang w:eastAsia="ru-RU"/>
              </w:rPr>
              <w:t xml:space="preserve">П Р И К А З</w:t>
            </w:r>
            <w:r>
              <w:rPr>
                <w:b/>
                <w:sz w:val="32"/>
                <w:szCs w:val="32"/>
                <w:lang w:eastAsia="ru-RU"/>
              </w:rPr>
              <w:t xml:space="preserve"> </w:t>
            </w:r>
            <w:r/>
          </w:p>
        </w:tc>
      </w:tr>
      <w:tr>
        <w:trPr>
          <w:jc w:val="center"/>
          <w:trHeight w:val="50" w:hRule="exact"/>
        </w:trPr>
        <w:tc>
          <w:tcPr>
            <w:tcW w:w="10180" w:type="dxa"/>
            <w:vAlign w:val="center"/>
            <w:textDirection w:val="lrTb"/>
            <w:noWrap w:val="false"/>
          </w:tcPr>
          <w:p>
            <w:pPr>
              <w:jc w:val="center"/>
              <w:keepNext/>
              <w:rPr>
                <w:b/>
                <w:sz w:val="40"/>
                <w:szCs w:val="20"/>
                <w:lang w:eastAsia="ru-RU"/>
              </w:rPr>
              <w:outlineLvl w:val="2"/>
            </w:pPr>
            <w:r>
              <w:rPr>
                <w:b/>
                <w:sz w:val="40"/>
                <w:szCs w:val="20"/>
                <w:lang w:eastAsia="ru-RU"/>
              </w:rPr>
            </w:r>
            <w:r/>
          </w:p>
        </w:tc>
      </w:tr>
    </w:tbl>
    <w:p>
      <w:pPr>
        <w:rPr>
          <w:vanish/>
          <w:sz w:val="4"/>
          <w:szCs w:val="4"/>
        </w:rPr>
      </w:pPr>
      <w:r>
        <w:rPr>
          <w:vanish/>
          <w:sz w:val="4"/>
          <w:szCs w:val="4"/>
        </w:rPr>
      </w:r>
      <w:r/>
    </w:p>
    <w:tbl>
      <w:tblPr>
        <w:tblpPr w:horzAnchor="margin" w:tblpXSpec="center" w:vertAnchor="text" w:tblpY="66" w:leftFromText="180" w:topFromText="0" w:rightFromText="180" w:bottomFromText="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2835"/>
        <w:gridCol w:w="397"/>
        <w:gridCol w:w="1304"/>
      </w:tblGrid>
      <w:tr>
        <w:trPr/>
        <w:tc>
          <w:tcPr>
            <w:tcW w:w="426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lang w:eastAsia="ru-RU"/>
              </w:rPr>
            </w:pPr>
            <w:r>
              <w:rPr>
                <w:sz w:val="28"/>
                <w:lang w:eastAsia="ru-RU"/>
              </w:rPr>
              <w:t xml:space="preserve">от</w:t>
            </w:r>
            <w:r/>
          </w:p>
        </w:tc>
        <w:tc>
          <w:tcPr>
            <w:tcBorders>
              <w:bottom w:val="single" w:sz="6" w:space="0" w:color="auto"/>
            </w:tcBorders>
            <w:tcW w:w="2835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  <w:highlight w:val="yellow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30.07.2026</w:t>
            </w:r>
            <w:r/>
          </w:p>
        </w:tc>
        <w:tc>
          <w:tcPr>
            <w:tcW w:w="397" w:type="dxa"/>
            <w:textDirection w:val="lrTb"/>
            <w:noWrap w:val="false"/>
          </w:tcPr>
          <w:p>
            <w:pPr>
              <w:jc w:val="center"/>
              <w:rPr>
                <w:sz w:val="28"/>
                <w:lang w:eastAsia="ru-RU"/>
              </w:rPr>
            </w:pPr>
            <w:r>
              <w:rPr>
                <w:sz w:val="28"/>
                <w:lang w:eastAsia="ru-RU"/>
              </w:rPr>
              <w:t xml:space="preserve">№</w:t>
            </w:r>
            <w:r/>
          </w:p>
        </w:tc>
        <w:tc>
          <w:tcPr>
            <w:tcBorders>
              <w:bottom w:val="single" w:sz="6" w:space="0" w:color="auto"/>
            </w:tcBorders>
            <w:tcW w:w="1304" w:type="dxa"/>
            <w:textDirection w:val="lrTb"/>
            <w:noWrap w:val="false"/>
          </w:tcPr>
          <w:p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    85</w:t>
            </w:r>
            <w:r>
              <w:rPr>
                <w:sz w:val="26"/>
                <w:szCs w:val="26"/>
                <w:lang w:val="en-US" w:eastAsia="ru-RU"/>
              </w:rPr>
              <w:t xml:space="preserve">-</w:t>
            </w:r>
            <w:r>
              <w:rPr>
                <w:sz w:val="26"/>
                <w:szCs w:val="26"/>
                <w:lang w:eastAsia="ru-RU"/>
              </w:rPr>
              <w:t xml:space="preserve">п</w:t>
            </w:r>
            <w:r/>
          </w:p>
        </w:tc>
      </w:tr>
      <w:tr>
        <w:trPr/>
        <w:tc>
          <w:tcPr>
            <w:gridSpan w:val="4"/>
            <w:tcW w:w="4962" w:type="dxa"/>
            <w:textDirection w:val="lrTb"/>
            <w:noWrap w:val="false"/>
          </w:tcPr>
          <w:p>
            <w:pPr>
              <w:jc w:val="center"/>
              <w:rPr>
                <w:sz w:val="4"/>
                <w:szCs w:val="4"/>
                <w:lang w:eastAsia="ru-RU"/>
              </w:rPr>
            </w:pPr>
            <w:r>
              <w:rPr>
                <w:sz w:val="4"/>
                <w:szCs w:val="4"/>
                <w:lang w:eastAsia="ru-RU"/>
              </w:rPr>
            </w:r>
            <w:r/>
          </w:p>
          <w:p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г. Пенза</w:t>
            </w:r>
            <w:r/>
          </w:p>
        </w:tc>
      </w:tr>
    </w:tbl>
    <w:p>
      <w:pPr>
        <w:jc w:val="center"/>
        <w:rPr>
          <w:lang w:eastAsia="ru-RU"/>
        </w:rPr>
      </w:pPr>
      <w:r>
        <w:rPr>
          <w:lang w:eastAsia="ru-RU"/>
        </w:rPr>
      </w:r>
      <w:r/>
    </w:p>
    <w:p>
      <w:pPr>
        <w:jc w:val="center"/>
        <w:rPr>
          <w:lang w:eastAsia="ru-RU"/>
        </w:rPr>
      </w:pPr>
      <w:r>
        <w:rPr>
          <w:lang w:eastAsia="ru-RU"/>
        </w:rPr>
      </w:r>
      <w:r/>
    </w:p>
    <w:p>
      <w:pPr>
        <w:jc w:val="center"/>
        <w:keepNext/>
        <w:rPr>
          <w:lang w:eastAsia="ru-RU"/>
        </w:rPr>
        <w:outlineLvl w:val="2"/>
      </w:pPr>
      <w:r>
        <w:rPr>
          <w:lang w:eastAsia="ru-RU"/>
        </w:rPr>
      </w:r>
      <w:r/>
    </w:p>
    <w:p>
      <w:pPr>
        <w:ind w:left="34" w:right="-6"/>
        <w:jc w:val="center"/>
        <w:keepNext/>
        <w:rPr>
          <w:b/>
          <w:sz w:val="28"/>
          <w:szCs w:val="28"/>
          <w:lang w:eastAsia="ru-RU"/>
        </w:rPr>
        <w:outlineLvl w:val="2"/>
      </w:pPr>
      <w:r>
        <w:rPr>
          <w:b/>
          <w:sz w:val="28"/>
          <w:szCs w:val="28"/>
          <w:lang w:eastAsia="ru-RU"/>
        </w:rPr>
      </w:r>
      <w:r/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 утверждении размера экономически обоснованных расходов</w:t>
      </w:r>
      <w:r/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АО «Кузнецкмежрайгаз»</w:t>
      </w:r>
      <w:r>
        <w:rPr>
          <w:b/>
          <w:bCs/>
          <w:sz w:val="28"/>
          <w:szCs w:val="28"/>
        </w:rPr>
        <w:t xml:space="preserve"> на выполнение мероприятий по подключению (технологическому присоединению) газоиспользующего оборудования к газораспределительным сетям в рамках догазификации и в рам</w:t>
      </w:r>
      <w:r>
        <w:rPr>
          <w:b/>
          <w:bCs/>
          <w:sz w:val="28"/>
          <w:szCs w:val="28"/>
        </w:rPr>
        <w:t xml:space="preserve">ках догазификации котельных за 2</w:t>
      </w:r>
      <w:r>
        <w:rPr>
          <w:b/>
          <w:bCs/>
          <w:sz w:val="28"/>
          <w:szCs w:val="28"/>
        </w:rPr>
        <w:t xml:space="preserve"> квартал 2026 года</w:t>
      </w:r>
      <w:r/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ind w:firstLine="709"/>
        <w:jc w:val="both"/>
        <w:tabs>
          <w:tab w:val="left" w:pos="993" w:leader="none"/>
        </w:tabs>
        <w:rPr>
          <w:b/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  <w:t xml:space="preserve">В соответствии с Федеральным законом от 31.03.1999 № 69-ФЗ «О газоснабжении в Российской Федерации» (с последующими изменениями),  постановлением Правительства РФ от 13.09.20</w:t>
      </w:r>
      <w:r>
        <w:rPr>
          <w:sz w:val="27"/>
          <w:szCs w:val="27"/>
          <w:lang w:eastAsia="ru-RU"/>
        </w:rPr>
        <w:t xml:space="preserve">21 № 1550 «Об утверждении Правил взаимодействия единого оператора газификации, регионального оператора газификации, органов государственной власти субъектов Российской Федерации, органов публичной власти федеральных территорий, газотранспортных организаций</w:t>
      </w:r>
      <w:r>
        <w:rPr>
          <w:sz w:val="27"/>
          <w:szCs w:val="27"/>
          <w:lang w:eastAsia="ru-RU"/>
        </w:rPr>
        <w:t xml:space="preserve">, а также газораспределительных организаций, привлекаемых единым оператором газификации или региональным оператором газификации, при реализации мероприятий межрегиональных и региональных программ газификации жилищно-коммунального хозяйства, промышленных и </w:t>
      </w:r>
      <w:r>
        <w:rPr>
          <w:sz w:val="27"/>
          <w:szCs w:val="27"/>
          <w:lang w:eastAsia="ru-RU"/>
        </w:rPr>
        <w:t xml:space="preserve">иных организаций» (с последующими изменениями), приказом ФАС России от 08.10.2024 № 702/24 «Об утверждении формы исполнительного органа субъекта Российской Федерации в области государственного регулирования цен (тарифов) или иного уполномоченного исполните</w:t>
      </w:r>
      <w:r>
        <w:rPr>
          <w:sz w:val="27"/>
          <w:szCs w:val="27"/>
          <w:lang w:eastAsia="ru-RU"/>
        </w:rPr>
        <w:t xml:space="preserve">льного органа субъекта Российской Федерации об утверждении размера экономически обоснованных расходов на выполнение мероприятий по подключению (технологическому присоединению) газоиспользующего оборудования к газораспределительным сетям в рамках догазифика</w:t>
      </w:r>
      <w:r>
        <w:rPr>
          <w:sz w:val="27"/>
          <w:szCs w:val="27"/>
          <w:lang w:eastAsia="ru-RU"/>
        </w:rPr>
        <w:t xml:space="preserve">ции и в рамках догазификации котельных», руководствуясь Положением о Министерстве по тарифному регулированию и государственным закупкам Пензенской области, утвержденным постановлением Правительства Пензенской области от 17.02.2026 № 111-пП (с последующими </w:t>
      </w:r>
      <w:r>
        <w:rPr>
          <w:sz w:val="27"/>
          <w:szCs w:val="27"/>
          <w:lang w:eastAsia="ru-RU"/>
        </w:rPr>
        <w:t xml:space="preserve">изменениями), </w:t>
      </w:r>
      <w:r>
        <w:rPr>
          <w:b/>
          <w:sz w:val="27"/>
          <w:szCs w:val="27"/>
          <w:lang w:eastAsia="ru-RU"/>
        </w:rPr>
        <w:t xml:space="preserve">п р и к а з ы в а ю:</w:t>
      </w:r>
      <w:r/>
    </w:p>
    <w:p>
      <w:pPr>
        <w:ind w:right="-1"/>
        <w:jc w:val="both"/>
        <w:shd w:val="clear" w:fill="FFFFFF" w:color="FFFFFF"/>
        <w:widowControl w:val="off"/>
        <w:tabs>
          <w:tab w:val="left" w:pos="993" w:leader="none"/>
        </w:tabs>
        <w:rPr>
          <w:spacing w:val="-3"/>
          <w:sz w:val="27"/>
          <w:szCs w:val="27"/>
        </w:rPr>
      </w:pPr>
      <w:r>
        <w:rPr>
          <w:spacing w:val="-3"/>
          <w:sz w:val="27"/>
          <w:szCs w:val="27"/>
        </w:rPr>
        <w:tab/>
      </w:r>
      <w:bookmarkStart w:id="0" w:name="_Hlk92978102"/>
      <w:r>
        <w:rPr>
          <w:spacing w:val="-3"/>
          <w:sz w:val="27"/>
          <w:szCs w:val="27"/>
        </w:rPr>
        <w:t xml:space="preserve">1. </w:t>
      </w:r>
      <w:r>
        <w:rPr>
          <w:spacing w:val="-3"/>
          <w:sz w:val="27"/>
          <w:szCs w:val="27"/>
        </w:rPr>
        <w:t xml:space="preserve">Утвердить</w:t>
      </w:r>
      <w:bookmarkEnd w:id="0"/>
      <w:r>
        <w:rPr>
          <w:spacing w:val="-3"/>
          <w:sz w:val="27"/>
          <w:szCs w:val="27"/>
        </w:rPr>
        <w:t xml:space="preserve"> экономически обоснованные расходы </w:t>
      </w:r>
      <w:r>
        <w:rPr>
          <w:spacing w:val="-3"/>
          <w:sz w:val="27"/>
          <w:szCs w:val="27"/>
        </w:rPr>
        <w:t xml:space="preserve">АО «Кузнецкмежрайгаз»</w:t>
      </w:r>
      <w:r>
        <w:rPr>
          <w:spacing w:val="-3"/>
          <w:sz w:val="27"/>
          <w:szCs w:val="27"/>
        </w:rPr>
        <w:t xml:space="preserve"> на выполнение мероприятий по подключению </w:t>
      </w:r>
      <w:r>
        <w:rPr>
          <w:spacing w:val="-3"/>
          <w:sz w:val="27"/>
          <w:szCs w:val="27"/>
        </w:rPr>
        <w:t xml:space="preserve">(технологическому присоединению) газоиспользующего оборудования к газораспределительным сетям в рамках догазификации и в рам</w:t>
      </w:r>
      <w:r>
        <w:rPr>
          <w:spacing w:val="-3"/>
          <w:sz w:val="27"/>
          <w:szCs w:val="27"/>
        </w:rPr>
        <w:t xml:space="preserve">ках догазификации котельных за 2</w:t>
      </w:r>
      <w:r>
        <w:rPr>
          <w:spacing w:val="-3"/>
          <w:sz w:val="27"/>
          <w:szCs w:val="27"/>
        </w:rPr>
        <w:t xml:space="preserve"> квартал 2026 </w:t>
      </w:r>
      <w:r>
        <w:rPr>
          <w:spacing w:val="-3"/>
          <w:sz w:val="27"/>
          <w:szCs w:val="27"/>
        </w:rPr>
        <w:t xml:space="preserve">в размере</w:t>
      </w:r>
      <w:r>
        <w:rPr>
          <w:bCs/>
          <w:iCs/>
          <w:spacing w:val="-3"/>
          <w:sz w:val="27"/>
          <w:szCs w:val="27"/>
        </w:rPr>
        <w:t xml:space="preserve"> </w:t>
      </w:r>
      <w:r>
        <w:rPr>
          <w:spacing w:val="-3"/>
          <w:sz w:val="27"/>
          <w:szCs w:val="27"/>
        </w:rPr>
        <w:t xml:space="preserve">2</w:t>
      </w:r>
      <w:r>
        <w:rPr>
          <w:spacing w:val="-3"/>
          <w:sz w:val="27"/>
          <w:szCs w:val="27"/>
        </w:rPr>
        <w:t xml:space="preserve"> </w:t>
      </w:r>
      <w:r>
        <w:rPr>
          <w:spacing w:val="-3"/>
          <w:sz w:val="27"/>
          <w:szCs w:val="27"/>
        </w:rPr>
        <w:t xml:space="preserve">867</w:t>
      </w:r>
      <w:r>
        <w:rPr>
          <w:spacing w:val="-3"/>
          <w:sz w:val="27"/>
          <w:szCs w:val="27"/>
        </w:rPr>
        <w:t xml:space="preserve"> </w:t>
      </w:r>
      <w:r>
        <w:rPr>
          <w:spacing w:val="-3"/>
          <w:sz w:val="27"/>
          <w:szCs w:val="27"/>
        </w:rPr>
        <w:t xml:space="preserve">543,76</w:t>
      </w:r>
      <w:r>
        <w:rPr>
          <w:spacing w:val="-3"/>
          <w:sz w:val="27"/>
          <w:szCs w:val="27"/>
        </w:rPr>
        <w:t xml:space="preserve"> </w:t>
      </w:r>
      <w:r>
        <w:rPr>
          <w:spacing w:val="-3"/>
          <w:sz w:val="27"/>
          <w:szCs w:val="27"/>
        </w:rPr>
        <w:t xml:space="preserve">руб. (</w:t>
      </w:r>
      <w:r>
        <w:rPr>
          <w:spacing w:val="-3"/>
          <w:sz w:val="27"/>
          <w:szCs w:val="27"/>
        </w:rPr>
        <w:t xml:space="preserve">кроме того, НДС в размере </w:t>
      </w:r>
      <w:r>
        <w:rPr>
          <w:spacing w:val="-3"/>
          <w:sz w:val="27"/>
          <w:szCs w:val="27"/>
        </w:rPr>
        <w:t xml:space="preserve">172 113,75</w:t>
      </w:r>
      <w:r>
        <w:rPr>
          <w:spacing w:val="-3"/>
          <w:sz w:val="27"/>
          <w:szCs w:val="27"/>
        </w:rPr>
        <w:t xml:space="preserve"> </w:t>
      </w:r>
      <w:r>
        <w:rPr>
          <w:spacing w:val="-3"/>
          <w:sz w:val="27"/>
          <w:szCs w:val="27"/>
        </w:rPr>
        <w:t xml:space="preserve">руб.</w:t>
      </w:r>
      <w:r>
        <w:rPr>
          <w:spacing w:val="-3"/>
          <w:sz w:val="27"/>
          <w:szCs w:val="27"/>
        </w:rPr>
        <w:t xml:space="preserve">) согласно </w:t>
      </w:r>
      <w:r>
        <w:rPr>
          <w:spacing w:val="-3"/>
          <w:sz w:val="27"/>
          <w:szCs w:val="27"/>
        </w:rPr>
        <w:t xml:space="preserve">приложению</w:t>
      </w:r>
      <w:r>
        <w:rPr>
          <w:spacing w:val="-3"/>
          <w:sz w:val="27"/>
          <w:szCs w:val="27"/>
        </w:rPr>
        <w:t xml:space="preserve"> к настоящему приказу, в том числе: </w:t>
      </w:r>
      <w:r/>
    </w:p>
    <w:p>
      <w:pPr>
        <w:ind w:firstLine="709"/>
        <w:jc w:val="both"/>
        <w:shd w:val="clear" w:fill="FFFFFF" w:color="FFFFFF"/>
        <w:widowControl w:val="off"/>
        <w:tabs>
          <w:tab w:val="left" w:pos="993" w:leader="none"/>
        </w:tabs>
        <w:rPr>
          <w:spacing w:val="-3"/>
          <w:sz w:val="27"/>
          <w:szCs w:val="27"/>
        </w:rPr>
      </w:pPr>
      <w:r>
        <w:rPr>
          <w:spacing w:val="-3"/>
          <w:sz w:val="27"/>
          <w:szCs w:val="27"/>
        </w:rPr>
        <w:t xml:space="preserve">- за счет средств</w:t>
      </w:r>
      <w:r>
        <w:rPr>
          <w:spacing w:val="-3"/>
          <w:sz w:val="27"/>
          <w:szCs w:val="27"/>
        </w:rPr>
        <w:t xml:space="preserve"> </w:t>
      </w:r>
      <w:r>
        <w:rPr>
          <w:spacing w:val="-3"/>
          <w:sz w:val="27"/>
          <w:szCs w:val="27"/>
        </w:rPr>
        <w:t xml:space="preserve">от применения специальных надбавок к тарифам на транспортировку газа</w:t>
      </w:r>
      <w:r>
        <w:rPr>
          <w:spacing w:val="-3"/>
          <w:sz w:val="27"/>
          <w:szCs w:val="27"/>
        </w:rPr>
        <w:t xml:space="preserve"> по газораспределительным сетям АО «Кузнецкмежрайгаз»</w:t>
      </w:r>
      <w:r>
        <w:rPr>
          <w:spacing w:val="-3"/>
          <w:sz w:val="27"/>
          <w:szCs w:val="27"/>
        </w:rPr>
        <w:t xml:space="preserve"> в размере </w:t>
      </w:r>
      <w:r>
        <w:rPr>
          <w:spacing w:val="-3"/>
          <w:sz w:val="27"/>
          <w:szCs w:val="27"/>
        </w:rPr>
        <w:t xml:space="preserve">312 125,10</w:t>
      </w:r>
      <w:r>
        <w:rPr>
          <w:spacing w:val="-3"/>
          <w:sz w:val="27"/>
          <w:szCs w:val="27"/>
        </w:rPr>
        <w:t xml:space="preserve"> руб. (кроме того, НДС в размере </w:t>
      </w:r>
      <w:r>
        <w:rPr>
          <w:spacing w:val="-3"/>
          <w:sz w:val="27"/>
          <w:szCs w:val="27"/>
        </w:rPr>
        <w:t xml:space="preserve">31 821,23 </w:t>
      </w:r>
      <w:r>
        <w:rPr>
          <w:spacing w:val="-3"/>
          <w:sz w:val="27"/>
          <w:szCs w:val="27"/>
        </w:rPr>
        <w:t xml:space="preserve">руб.);</w:t>
      </w:r>
      <w:r/>
    </w:p>
    <w:p>
      <w:pPr>
        <w:ind w:firstLine="709"/>
        <w:jc w:val="both"/>
        <w:shd w:val="clear" w:fill="FFFFFF" w:color="FFFFFF"/>
        <w:widowControl w:val="off"/>
        <w:tabs>
          <w:tab w:val="left" w:pos="993" w:leader="none"/>
        </w:tabs>
        <w:rPr>
          <w:spacing w:val="-3"/>
          <w:sz w:val="27"/>
          <w:szCs w:val="27"/>
        </w:rPr>
      </w:pPr>
      <w:r>
        <w:rPr>
          <w:spacing w:val="-3"/>
          <w:sz w:val="27"/>
          <w:szCs w:val="27"/>
        </w:rPr>
        <w:t xml:space="preserve">- за счет </w:t>
      </w:r>
      <w:r>
        <w:rPr>
          <w:spacing w:val="-3"/>
          <w:sz w:val="27"/>
          <w:szCs w:val="27"/>
        </w:rPr>
        <w:t xml:space="preserve">средств,</w:t>
      </w:r>
      <w:r>
        <w:rPr>
          <w:spacing w:val="-3"/>
          <w:sz w:val="27"/>
          <w:szCs w:val="27"/>
        </w:rPr>
        <w:t xml:space="preserve"> полученных</w:t>
      </w:r>
      <w:r>
        <w:rPr>
          <w:spacing w:val="-3"/>
          <w:sz w:val="27"/>
          <w:szCs w:val="27"/>
        </w:rPr>
        <w:t xml:space="preserve"> от иных источников финансирования мероприятий по технологическому присоединению в рамках догазификации</w:t>
      </w:r>
      <w:r>
        <w:rPr>
          <w:spacing w:val="-3"/>
          <w:sz w:val="27"/>
          <w:szCs w:val="27"/>
        </w:rPr>
        <w:t xml:space="preserve"> в размере </w:t>
      </w:r>
      <w:r>
        <w:rPr>
          <w:spacing w:val="-3"/>
          <w:sz w:val="27"/>
          <w:szCs w:val="27"/>
        </w:rPr>
        <w:t xml:space="preserve">2 555 418,66</w:t>
      </w:r>
      <w:r>
        <w:rPr>
          <w:spacing w:val="-3"/>
          <w:sz w:val="27"/>
          <w:szCs w:val="27"/>
        </w:rPr>
        <w:t xml:space="preserve"> руб. (кроме того, НДС в размере </w:t>
      </w:r>
      <w:r>
        <w:rPr>
          <w:spacing w:val="-3"/>
          <w:sz w:val="27"/>
          <w:szCs w:val="27"/>
        </w:rPr>
        <w:t xml:space="preserve">140 292,52</w:t>
      </w:r>
      <w:r>
        <w:rPr>
          <w:spacing w:val="-3"/>
          <w:sz w:val="27"/>
          <w:szCs w:val="27"/>
        </w:rPr>
        <w:t xml:space="preserve"> </w:t>
      </w:r>
      <w:r>
        <w:rPr>
          <w:spacing w:val="-3"/>
          <w:sz w:val="27"/>
          <w:szCs w:val="27"/>
        </w:rPr>
        <w:t xml:space="preserve">руб.).</w:t>
      </w:r>
      <w:r/>
    </w:p>
    <w:p>
      <w:pPr>
        <w:ind w:right="-1"/>
        <w:jc w:val="both"/>
        <w:shd w:val="clear" w:fill="FFFFFF" w:color="FFFFFF"/>
        <w:widowControl w:val="off"/>
        <w:tabs>
          <w:tab w:val="left" w:pos="993" w:leader="none"/>
        </w:tabs>
        <w:rPr>
          <w:spacing w:val="-3"/>
          <w:sz w:val="27"/>
          <w:szCs w:val="27"/>
        </w:rPr>
      </w:pPr>
      <w:r>
        <w:rPr>
          <w:spacing w:val="-3"/>
          <w:sz w:val="27"/>
          <w:szCs w:val="27"/>
        </w:rPr>
        <w:tab/>
      </w:r>
      <w:r>
        <w:rPr>
          <w:spacing w:val="-3"/>
          <w:sz w:val="27"/>
          <w:szCs w:val="27"/>
        </w:rPr>
        <w:t xml:space="preserve">2.</w:t>
      </w:r>
      <w:r>
        <w:rPr>
          <w:spacing w:val="-3"/>
          <w:sz w:val="27"/>
          <w:szCs w:val="27"/>
        </w:rPr>
        <w:tab/>
      </w:r>
      <w:r>
        <w:rPr>
          <w:spacing w:val="-3"/>
          <w:sz w:val="27"/>
          <w:szCs w:val="27"/>
        </w:rPr>
        <w:t xml:space="preserve">Настоящий приказ разместить (опубликовать) на официальном сайте </w:t>
      </w:r>
      <w:r>
        <w:rPr>
          <w:sz w:val="27"/>
          <w:szCs w:val="27"/>
          <w:lang w:eastAsia="ru-RU"/>
        </w:rPr>
        <w:t xml:space="preserve">Министерства по тарифному регулированию и государственным закупкам Пензенской области</w:t>
      </w:r>
      <w:r>
        <w:rPr>
          <w:spacing w:val="-3"/>
          <w:sz w:val="27"/>
          <w:szCs w:val="27"/>
        </w:rPr>
        <w:t xml:space="preserve"> в информационно-телекоммуникационной сети «Интернет».</w:t>
      </w:r>
      <w:r/>
    </w:p>
    <w:p>
      <w:pPr>
        <w:pStyle w:val="490"/>
        <w:numPr>
          <w:ilvl w:val="0"/>
          <w:numId w:val="25"/>
        </w:numPr>
        <w:ind w:right="-1"/>
        <w:jc w:val="both"/>
        <w:shd w:val="clear" w:fill="FFFFFF" w:color="FFFFFF"/>
        <w:widowControl w:val="off"/>
        <w:tabs>
          <w:tab w:val="left" w:pos="993" w:leader="none"/>
        </w:tabs>
        <w:rPr>
          <w:spacing w:val="-3"/>
          <w:sz w:val="27"/>
          <w:szCs w:val="27"/>
        </w:rPr>
      </w:pPr>
      <w:r>
        <w:rPr>
          <w:sz w:val="27"/>
          <w:szCs w:val="27"/>
        </w:rPr>
        <w:t xml:space="preserve">Настоящий приказ вступает в силу со дня его подписания.</w:t>
      </w:r>
      <w:r/>
    </w:p>
    <w:p>
      <w:pPr>
        <w:pStyle w:val="490"/>
        <w:numPr>
          <w:ilvl w:val="0"/>
          <w:numId w:val="25"/>
        </w:numPr>
        <w:ind w:right="-1"/>
        <w:jc w:val="both"/>
        <w:shd w:val="clear" w:fill="FFFFFF" w:color="FFFFFF"/>
        <w:widowControl w:val="off"/>
        <w:tabs>
          <w:tab w:val="left" w:pos="993" w:leader="none"/>
        </w:tabs>
        <w:rPr>
          <w:spacing w:val="-3"/>
          <w:sz w:val="27"/>
          <w:szCs w:val="27"/>
        </w:rPr>
      </w:pPr>
      <w:r>
        <w:rPr>
          <w:sz w:val="27"/>
          <w:szCs w:val="27"/>
        </w:rPr>
        <w:t xml:space="preserve">Контроль за исполнением настоящего приказа оставляю за собой.</w:t>
      </w:r>
      <w:r/>
    </w:p>
    <w:p>
      <w:pPr>
        <w:ind w:right="-1"/>
        <w:jc w:val="both"/>
        <w:shd w:val="clear" w:fill="FFFFFF" w:color="FFFFFF"/>
        <w:widowControl w:val="off"/>
        <w:tabs>
          <w:tab w:val="left" w:pos="993" w:leader="none"/>
        </w:tabs>
        <w:rPr>
          <w:sz w:val="27"/>
          <w:szCs w:val="27"/>
        </w:rPr>
      </w:pPr>
      <w:r>
        <w:rPr>
          <w:sz w:val="27"/>
          <w:szCs w:val="27"/>
        </w:rPr>
      </w:r>
      <w:r/>
    </w:p>
    <w:p>
      <w:pPr>
        <w:ind w:right="-1"/>
        <w:jc w:val="both"/>
        <w:shd w:val="clear" w:fill="FFFFFF" w:color="FFFFFF"/>
        <w:widowControl w:val="off"/>
        <w:tabs>
          <w:tab w:val="left" w:pos="993" w:leader="none"/>
        </w:tabs>
        <w:rPr>
          <w:spacing w:val="-3"/>
          <w:sz w:val="27"/>
          <w:szCs w:val="27"/>
        </w:rPr>
      </w:pPr>
      <w:r>
        <w:rPr>
          <w:spacing w:val="-3"/>
          <w:sz w:val="27"/>
          <w:szCs w:val="27"/>
        </w:rPr>
      </w:r>
      <w:r/>
    </w:p>
    <w:p>
      <w:pPr>
        <w:ind w:right="-1"/>
        <w:jc w:val="both"/>
        <w:shd w:val="clear" w:fill="FFFFFF" w:color="FFFFFF"/>
        <w:widowControl w:val="off"/>
        <w:tabs>
          <w:tab w:val="left" w:pos="993" w:leader="none"/>
        </w:tabs>
        <w:rPr>
          <w:spacing w:val="-3"/>
          <w:sz w:val="27"/>
          <w:szCs w:val="27"/>
        </w:rPr>
      </w:pPr>
      <w:r>
        <w:rPr>
          <w:spacing w:val="-3"/>
          <w:sz w:val="27"/>
          <w:szCs w:val="27"/>
        </w:rPr>
      </w:r>
      <w:r/>
    </w:p>
    <w:p>
      <w:pPr>
        <w:widowControl w:val="off"/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  <w:t xml:space="preserve">Заместитель </w:t>
      </w:r>
      <w:r>
        <w:rPr>
          <w:sz w:val="27"/>
          <w:szCs w:val="27"/>
          <w:lang w:eastAsia="ru-RU"/>
        </w:rPr>
        <w:t xml:space="preserve">Министр</w:t>
      </w:r>
      <w:r>
        <w:rPr>
          <w:sz w:val="27"/>
          <w:szCs w:val="27"/>
          <w:lang w:eastAsia="ru-RU"/>
        </w:rPr>
        <w:t xml:space="preserve">а</w:t>
      </w:r>
      <w:r>
        <w:rPr>
          <w:sz w:val="27"/>
          <w:szCs w:val="27"/>
          <w:lang w:eastAsia="ru-RU"/>
        </w:rPr>
        <w:t xml:space="preserve">                                                           </w:t>
      </w:r>
      <w:r>
        <w:rPr>
          <w:sz w:val="27"/>
          <w:szCs w:val="27"/>
          <w:lang w:eastAsia="ru-RU"/>
        </w:rPr>
        <w:t xml:space="preserve">   </w:t>
      </w:r>
      <w:r>
        <w:rPr>
          <w:sz w:val="27"/>
          <w:szCs w:val="27"/>
          <w:lang w:eastAsia="ru-RU"/>
        </w:rPr>
        <w:t xml:space="preserve">   </w:t>
      </w:r>
      <w:r>
        <w:rPr>
          <w:sz w:val="27"/>
          <w:szCs w:val="27"/>
          <w:lang w:eastAsia="ru-RU"/>
        </w:rPr>
        <w:t xml:space="preserve">          </w:t>
      </w:r>
      <w:r>
        <w:rPr>
          <w:sz w:val="27"/>
          <w:szCs w:val="27"/>
          <w:lang w:eastAsia="ru-RU"/>
        </w:rPr>
        <w:t xml:space="preserve"> </w:t>
      </w:r>
      <w:r>
        <w:rPr>
          <w:sz w:val="27"/>
          <w:szCs w:val="27"/>
          <w:lang w:eastAsia="ru-RU"/>
        </w:rPr>
        <w:t xml:space="preserve">А.В.</w:t>
      </w:r>
      <w:r>
        <w:rPr>
          <w:sz w:val="27"/>
          <w:szCs w:val="27"/>
          <w:lang w:eastAsia="ru-RU"/>
        </w:rPr>
        <w:t xml:space="preserve"> С</w:t>
      </w:r>
      <w:r>
        <w:rPr>
          <w:sz w:val="27"/>
          <w:szCs w:val="27"/>
          <w:lang w:eastAsia="ru-RU"/>
        </w:rPr>
        <w:t xml:space="preserve">уворов</w:t>
      </w:r>
      <w:r/>
    </w:p>
    <w:p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  <w:r/>
    </w:p>
    <w:p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  <w:r/>
    </w:p>
    <w:p>
      <w:pPr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</w:r>
      <w:r/>
    </w:p>
    <w:p>
      <w:pPr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</w:r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pPr>
        <w:sectPr>
          <w:footnotePr/>
          <w:endnotePr/>
          <w:type w:val="nextPage"/>
          <w:pgSz w:w="11906" w:h="16838" w:orient="portrait"/>
          <w:pgMar w:top="1134" w:right="851" w:bottom="1134" w:left="1701" w:header="709" w:footer="709" w:gutter="0"/>
          <w:cols w:num="1" w:sep="0" w:space="708" w:equalWidth="1"/>
          <w:docGrid w:linePitch="360"/>
        </w:sectPr>
      </w:pPr>
      <w:r/>
      <w:r/>
    </w:p>
    <w:p>
      <w:pPr>
        <w:jc w:val="right"/>
        <w:rPr>
          <w:sz w:val="27"/>
          <w:szCs w:val="27"/>
        </w:rPr>
        <w:outlineLvl w:val="0"/>
      </w:pPr>
      <w:r>
        <w:rPr>
          <w:sz w:val="27"/>
          <w:szCs w:val="27"/>
        </w:rPr>
        <w:t xml:space="preserve">Приложение к приказу</w:t>
      </w:r>
      <w:r/>
    </w:p>
    <w:p>
      <w:pPr>
        <w:jc w:val="right"/>
        <w:rPr>
          <w:sz w:val="27"/>
          <w:szCs w:val="27"/>
        </w:rPr>
      </w:pPr>
      <w:r>
        <w:rPr>
          <w:sz w:val="27"/>
          <w:szCs w:val="27"/>
        </w:rPr>
        <w:t xml:space="preserve">Министерства по тарифному регулированию</w:t>
      </w:r>
      <w:r/>
    </w:p>
    <w:p>
      <w:pPr>
        <w:jc w:val="right"/>
        <w:rPr>
          <w:sz w:val="27"/>
          <w:szCs w:val="27"/>
        </w:rPr>
      </w:pPr>
      <w:r>
        <w:rPr>
          <w:sz w:val="27"/>
          <w:szCs w:val="27"/>
        </w:rPr>
        <w:t xml:space="preserve">и государственным закупкам Пензенской области</w:t>
      </w:r>
      <w:r/>
    </w:p>
    <w:p>
      <w:pPr>
        <w:jc w:val="right"/>
        <w:rPr>
          <w:sz w:val="27"/>
          <w:szCs w:val="27"/>
        </w:rPr>
      </w:pPr>
      <w:r/>
      <w:bookmarkStart w:id="1" w:name="_GoBack"/>
      <w:r/>
      <w:bookmarkEnd w:id="1"/>
      <w:r>
        <w:rPr>
          <w:sz w:val="27"/>
          <w:szCs w:val="27"/>
        </w:rPr>
        <w:t xml:space="preserve">от </w:t>
      </w:r>
      <w:r>
        <w:rPr>
          <w:sz w:val="27"/>
          <w:szCs w:val="27"/>
        </w:rPr>
        <w:t xml:space="preserve">30.07.</w:t>
      </w:r>
      <w:r>
        <w:rPr>
          <w:sz w:val="27"/>
          <w:szCs w:val="27"/>
        </w:rPr>
        <w:t xml:space="preserve">2</w:t>
      </w:r>
      <w:r>
        <w:rPr>
          <w:sz w:val="27"/>
          <w:szCs w:val="27"/>
        </w:rPr>
        <w:t xml:space="preserve">026 №</w:t>
      </w:r>
      <w:r>
        <w:rPr>
          <w:sz w:val="27"/>
          <w:szCs w:val="27"/>
        </w:rPr>
        <w:t xml:space="preserve"> 85</w:t>
      </w:r>
      <w:r>
        <w:rPr>
          <w:sz w:val="27"/>
          <w:szCs w:val="27"/>
        </w:rPr>
        <w:t xml:space="preserve">-п</w:t>
      </w:r>
      <w:r/>
    </w:p>
    <w:p>
      <w:pPr>
        <w:jc w:val="right"/>
        <w:rPr>
          <w:sz w:val="27"/>
          <w:szCs w:val="27"/>
        </w:rPr>
        <w:outlineLvl w:val="0"/>
      </w:pPr>
      <w:r>
        <w:rPr>
          <w:sz w:val="27"/>
          <w:szCs w:val="27"/>
        </w:rPr>
      </w:r>
      <w:r/>
    </w:p>
    <w:p>
      <w:pPr>
        <w:widowControl w:val="off"/>
        <w:rPr>
          <w:sz w:val="18"/>
          <w:szCs w:val="27"/>
          <w:lang w:eastAsia="ru-RU"/>
        </w:rPr>
      </w:pPr>
      <w:r>
        <w:rPr>
          <w:sz w:val="18"/>
          <w:szCs w:val="27"/>
          <w:lang w:eastAsia="ru-RU"/>
        </w:rPr>
      </w:r>
      <w:r/>
    </w:p>
    <w:p>
      <w:pPr>
        <w:jc w:val="center"/>
        <w:widowControl w:val="off"/>
        <w:rPr>
          <w:b/>
          <w:bCs/>
          <w:sz w:val="27"/>
          <w:szCs w:val="27"/>
          <w:lang w:eastAsia="ru-RU"/>
        </w:rPr>
      </w:pPr>
      <w:r>
        <w:rPr>
          <w:b/>
          <w:bCs/>
          <w:sz w:val="27"/>
          <w:szCs w:val="27"/>
          <w:lang w:eastAsia="ru-RU"/>
        </w:rPr>
        <w:t xml:space="preserve">Сведения о размере экономически обоснованных расходов АО «Кузнецкмежрайгаз»</w:t>
      </w:r>
      <w:r/>
    </w:p>
    <w:p>
      <w:pPr>
        <w:jc w:val="center"/>
        <w:widowControl w:val="off"/>
        <w:rPr>
          <w:b/>
          <w:bCs/>
          <w:sz w:val="27"/>
          <w:szCs w:val="27"/>
          <w:lang w:eastAsia="ru-RU"/>
        </w:rPr>
      </w:pPr>
      <w:r>
        <w:rPr>
          <w:b/>
          <w:bCs/>
          <w:sz w:val="27"/>
          <w:szCs w:val="27"/>
          <w:lang w:eastAsia="ru-RU"/>
        </w:rPr>
        <w:t xml:space="preserve">на выполнение мероприятий по подключению (технологическому присоединению) газоиспользующего оборудования к газораспределительным сетям в рамках догазификации и в рамках догазификации котельных за </w:t>
      </w:r>
      <w:r>
        <w:rPr>
          <w:b/>
          <w:bCs/>
          <w:sz w:val="27"/>
          <w:szCs w:val="27"/>
          <w:lang w:eastAsia="ru-RU"/>
        </w:rPr>
        <w:t xml:space="preserve">2</w:t>
      </w:r>
      <w:r>
        <w:rPr>
          <w:b/>
          <w:bCs/>
          <w:sz w:val="27"/>
          <w:szCs w:val="27"/>
          <w:lang w:eastAsia="ru-RU"/>
        </w:rPr>
        <w:t xml:space="preserve"> квартал 2026 года</w:t>
      </w:r>
      <w:r/>
    </w:p>
    <w:tbl>
      <w:tblPr>
        <w:tblW w:w="5026" w:type="pct"/>
        <w:tblInd w:w="-318" w:type="dxa"/>
        <w:tblLayout w:type="fixed"/>
        <w:tblLook w:val="04A0" w:firstRow="1" w:lastRow="0" w:firstColumn="1" w:lastColumn="0" w:noHBand="0" w:noVBand="1"/>
      </w:tblPr>
      <w:tblGrid>
        <w:gridCol w:w="418"/>
        <w:gridCol w:w="1134"/>
        <w:gridCol w:w="948"/>
        <w:gridCol w:w="1612"/>
        <w:gridCol w:w="712"/>
        <w:gridCol w:w="1269"/>
        <w:gridCol w:w="2271"/>
        <w:gridCol w:w="1276"/>
        <w:gridCol w:w="1417"/>
        <w:gridCol w:w="992"/>
        <w:gridCol w:w="1276"/>
        <w:gridCol w:w="992"/>
        <w:gridCol w:w="1417"/>
        <w:gridCol w:w="13"/>
      </w:tblGrid>
      <w:tr>
        <w:trPr>
          <w:gridAfter w:val="1"/>
          <w:trHeight w:val="5522"/>
        </w:trPr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33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 xml:space="preserve">№ пункта</w:t>
            </w:r>
            <w:r/>
          </w:p>
        </w:tc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60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 xml:space="preserve">Муниципальное образование</w:t>
            </w:r>
            <w:r/>
          </w:p>
        </w:tc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01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 xml:space="preserve">Населенный пункт</w:t>
            </w:r>
            <w:r/>
          </w:p>
        </w:tc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512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 xml:space="preserve">Наименование объекта строительства (согласно акту законченного строительством объекта) </w:t>
            </w:r>
            <w:r/>
          </w:p>
        </w:tc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26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 xml:space="preserve">Код объекта строительства</w:t>
            </w:r>
            <w:r/>
          </w:p>
          <w:p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 xml:space="preserve">&lt;1&gt;</w:t>
            </w:r>
            <w:r/>
          </w:p>
        </w:tc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03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 xml:space="preserve">Код этапа</w:t>
            </w:r>
            <w:r>
              <w:rPr>
                <w:b/>
                <w:bCs/>
                <w:sz w:val="18"/>
                <w:szCs w:val="18"/>
                <w:lang w:eastAsia="ru-RU"/>
              </w:rPr>
              <w:br/>
              <w:t xml:space="preserve">(АА-ББ-ГГГ-Х, где:</w:t>
            </w:r>
            <w:r>
              <w:rPr>
                <w:b/>
                <w:bCs/>
                <w:sz w:val="18"/>
                <w:szCs w:val="18"/>
                <w:lang w:eastAsia="ru-RU"/>
              </w:rPr>
              <w:br/>
              <w:t xml:space="preserve">ЭЭЭЭЭ - уникальный код этапа строительства (реконструкции) объекта, при реализации объекта с выделением этапов (по форме "00001", "00002");</w:t>
            </w:r>
            <w:r>
              <w:rPr>
                <w:b/>
                <w:bCs/>
                <w:sz w:val="18"/>
                <w:szCs w:val="18"/>
                <w:lang w:eastAsia="ru-RU"/>
              </w:rPr>
              <w:br/>
              <w:t xml:space="preserve">"00000" - строительство объекта без выделения этапов;</w:t>
            </w:r>
            <w:r>
              <w:rPr>
                <w:b/>
                <w:bCs/>
                <w:sz w:val="18"/>
                <w:szCs w:val="18"/>
                <w:lang w:eastAsia="ru-RU"/>
              </w:rPr>
              <w:br/>
              <w:t xml:space="preserve">СНТ - реализация </w:t>
            </w:r>
            <w:r>
              <w:rPr>
                <w:b/>
                <w:bCs/>
                <w:sz w:val="18"/>
                <w:szCs w:val="18"/>
                <w:lang w:eastAsia="ru-RU"/>
              </w:rPr>
              <w:t xml:space="preserve">мероприятий по технологическому присоединению в рамках догазификации в границах территорий ведения гражданами садоводства для собственных нужд)</w:t>
            </w:r>
            <w:r/>
          </w:p>
        </w:tc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721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 xml:space="preserve">Код мероприятия (МММ (от 1 до 3 символов), где: "1" - разработка проектной документации и осуществление строительных мероприятий (без учета затрат, перечисленных "2", "3", "4"); "2" - рекультивация, благоустройство;</w:t>
            </w:r>
            <w:r>
              <w:rPr>
                <w:b/>
                <w:bCs/>
                <w:sz w:val="18"/>
                <w:szCs w:val="18"/>
                <w:lang w:eastAsia="ru-RU"/>
              </w:rPr>
              <w:t xml:space="preserve"> "3" - осуществление государственного кадастрового учета и (или) государственной регистрации прав на построенную или реконструированную газораспределительной организацией сеть газораспределения, включая подготовку материалов для внесения сведений в единый </w:t>
            </w:r>
            <w:r>
              <w:rPr>
                <w:b/>
                <w:bCs/>
                <w:sz w:val="18"/>
                <w:szCs w:val="18"/>
                <w:lang w:eastAsia="ru-RU"/>
              </w:rPr>
              <w:t xml:space="preserve">гос</w:t>
            </w:r>
            <w:r>
              <w:rPr>
                <w:b/>
                <w:bCs/>
                <w:sz w:val="18"/>
                <w:szCs w:val="18"/>
                <w:lang w:eastAsia="ru-RU"/>
              </w:rPr>
              <w:t xml:space="preserve">ударственный реестр недвижимости об установлении охранных зон, а также оплату государственной пошлины за осуществление регистрации прав собственности; "4" - осуществление газораспределительной организацией мониторинга выполнения заявителем технических усло</w:t>
            </w:r>
            <w:r>
              <w:rPr>
                <w:b/>
                <w:bCs/>
                <w:sz w:val="18"/>
                <w:szCs w:val="18"/>
                <w:lang w:eastAsia="ru-RU"/>
              </w:rPr>
              <w:t xml:space="preserve">вий и фактического присоединения, а также прием заявки о подключении, подготовка договора о подключении и дополнительных соглашений к нему; "0" - строительство объекта без выделения уникального мероприятия (выполнен комплекс работ, перечисленных в "1 - 4")</w:t>
            </w:r>
            <w:r/>
          </w:p>
        </w:tc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05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 xml:space="preserve">Фактически понесенные расходы на выполнение мероприятий по подключению (технологическому присоединению) газоиспользующего оборудования к газораспределительным сетям в рамках догазификации и в рамках догазификации котельных </w:t>
            </w:r>
            <w:r>
              <w:rPr>
                <w:b/>
                <w:bCs/>
                <w:sz w:val="18"/>
                <w:szCs w:val="18"/>
                <w:lang w:eastAsia="ru-RU"/>
              </w:rPr>
              <w:t xml:space="preserve">(далее - мероприятия по технологическому присоединению в рамках догазификации), рублей (без учета налога на добавленную стоимость)</w:t>
            </w:r>
            <w:r/>
          </w:p>
        </w:tc>
        <w:tc>
          <w:tcPr>
            <w:gridSpan w:val="5"/>
            <w:shd w:val="clear" w:color="auto" w:fill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35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 xml:space="preserve">Экономически обоснованные расходы на выполнение мероприятий по технологическому присоединению в рамках догазификации, рублей (без учета налога на добавленную стоимость)</w:t>
            </w:r>
            <w:r/>
          </w:p>
        </w:tc>
      </w:tr>
      <w:tr>
        <w:trPr>
          <w:gridAfter w:val="1"/>
          <w:trHeight w:val="2445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33" w:type="pct"/>
            <w:vAlign w:val="center"/>
            <w:vMerge w:val="continue"/>
            <w:textDirection w:val="lrTb"/>
            <w:noWrap w:val="false"/>
          </w:tcPr>
          <w:p>
            <w:pPr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60" w:type="pct"/>
            <w:vAlign w:val="center"/>
            <w:vMerge w:val="continue"/>
            <w:textDirection w:val="lrTb"/>
            <w:noWrap w:val="false"/>
          </w:tcPr>
          <w:p>
            <w:pPr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01" w:type="pct"/>
            <w:vAlign w:val="center"/>
            <w:vMerge w:val="continue"/>
            <w:textDirection w:val="lrTb"/>
            <w:noWrap w:val="false"/>
          </w:tcPr>
          <w:p>
            <w:pPr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512" w:type="pct"/>
            <w:vAlign w:val="center"/>
            <w:vMerge w:val="continue"/>
            <w:textDirection w:val="lrTb"/>
            <w:noWrap w:val="false"/>
          </w:tcPr>
          <w:p>
            <w:pPr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26" w:type="pct"/>
            <w:vAlign w:val="center"/>
            <w:vMerge w:val="continue"/>
            <w:textDirection w:val="lrTb"/>
            <w:noWrap w:val="false"/>
          </w:tcPr>
          <w:p>
            <w:pPr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03" w:type="pct"/>
            <w:vAlign w:val="center"/>
            <w:vMerge w:val="continue"/>
            <w:textDirection w:val="lrTb"/>
            <w:noWrap w:val="false"/>
          </w:tcPr>
          <w:p>
            <w:pPr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721" w:type="pct"/>
            <w:vAlign w:val="center"/>
            <w:vMerge w:val="continue"/>
            <w:textDirection w:val="lrTb"/>
            <w:noWrap w:val="false"/>
          </w:tcPr>
          <w:p>
            <w:pPr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05" w:type="pct"/>
            <w:vAlign w:val="center"/>
            <w:vMerge w:val="continue"/>
            <w:textDirection w:val="lrTb"/>
            <w:noWrap w:val="false"/>
          </w:tcPr>
          <w:p>
            <w:pPr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50" w:type="pct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 xml:space="preserve">Всего, в том числе:</w:t>
            </w:r>
            <w:r/>
          </w:p>
        </w:tc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5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 xml:space="preserve">Средства от применения тарифов на услуги по транспортировке газа по газораспределительным сетям </w:t>
            </w:r>
            <w:r/>
          </w:p>
        </w:tc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05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 xml:space="preserve">Средства от применения специальных надбавок к тарифам на транспортировку газа газораспределительной организацией</w:t>
            </w:r>
            <w:r/>
          </w:p>
        </w:tc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5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 xml:space="preserve">Средства, полученные от единого оператора газификации или регионального оператора газификации для покрытия расходов на реализацию мероприятий по технологическому присоединению в рамках догазификации</w:t>
            </w:r>
            <w:r/>
          </w:p>
        </w:tc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50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 xml:space="preserve">Средства, полученные от иных источников финансирования мероприятий по технологическому присоединению в рамках догазификации</w:t>
            </w:r>
            <w:r/>
          </w:p>
        </w:tc>
      </w:tr>
      <w:tr>
        <w:trPr>
          <w:gridAfter w:val="1"/>
          <w:trHeight w:val="900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33" w:type="pct"/>
            <w:vAlign w:val="center"/>
            <w:vMerge w:val="continue"/>
            <w:textDirection w:val="lrTb"/>
            <w:noWrap w:val="false"/>
          </w:tcPr>
          <w:p>
            <w:pPr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60" w:type="pct"/>
            <w:vAlign w:val="center"/>
            <w:vMerge w:val="continue"/>
            <w:textDirection w:val="lrTb"/>
            <w:noWrap w:val="false"/>
          </w:tcPr>
          <w:p>
            <w:pPr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01" w:type="pct"/>
            <w:vAlign w:val="center"/>
            <w:vMerge w:val="continue"/>
            <w:textDirection w:val="lrTb"/>
            <w:noWrap w:val="false"/>
          </w:tcPr>
          <w:p>
            <w:pPr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512" w:type="pct"/>
            <w:vAlign w:val="center"/>
            <w:vMerge w:val="continue"/>
            <w:textDirection w:val="lrTb"/>
            <w:noWrap w:val="false"/>
          </w:tcPr>
          <w:p>
            <w:pPr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26" w:type="pct"/>
            <w:vAlign w:val="center"/>
            <w:vMerge w:val="continue"/>
            <w:textDirection w:val="lrTb"/>
            <w:noWrap w:val="false"/>
          </w:tcPr>
          <w:p>
            <w:pPr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03" w:type="pct"/>
            <w:vAlign w:val="center"/>
            <w:vMerge w:val="continue"/>
            <w:textDirection w:val="lrTb"/>
            <w:noWrap w:val="false"/>
          </w:tcPr>
          <w:p>
            <w:pPr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721" w:type="pct"/>
            <w:vAlign w:val="center"/>
            <w:vMerge w:val="continue"/>
            <w:textDirection w:val="lrTb"/>
            <w:noWrap w:val="false"/>
          </w:tcPr>
          <w:p>
            <w:pPr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05" w:type="pct"/>
            <w:vAlign w:val="center"/>
            <w:vMerge w:val="continue"/>
            <w:textDirection w:val="lrTb"/>
            <w:noWrap w:val="false"/>
          </w:tcPr>
          <w:p>
            <w:pPr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50" w:type="pct"/>
            <w:vAlign w:val="center"/>
            <w:vMerge w:val="continue"/>
            <w:textDirection w:val="lrTb"/>
            <w:noWrap w:val="false"/>
          </w:tcPr>
          <w:p>
            <w:pPr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5" w:type="pct"/>
            <w:vAlign w:val="center"/>
            <w:vMerge w:val="continue"/>
            <w:textDirection w:val="lrTb"/>
            <w:noWrap w:val="false"/>
          </w:tcPr>
          <w:p>
            <w:pPr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05" w:type="pct"/>
            <w:vAlign w:val="center"/>
            <w:vMerge w:val="continue"/>
            <w:textDirection w:val="lrTb"/>
            <w:noWrap w:val="false"/>
          </w:tcPr>
          <w:p>
            <w:pPr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5" w:type="pct"/>
            <w:vAlign w:val="center"/>
            <w:vMerge w:val="continue"/>
            <w:textDirection w:val="lrTb"/>
            <w:noWrap w:val="false"/>
          </w:tcPr>
          <w:p>
            <w:pPr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50" w:type="pct"/>
            <w:vAlign w:val="center"/>
            <w:vMerge w:val="continue"/>
            <w:textDirection w:val="lrTb"/>
            <w:noWrap w:val="false"/>
          </w:tcPr>
          <w:p>
            <w:pPr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</w:r>
            <w:r/>
          </w:p>
        </w:tc>
      </w:tr>
      <w:tr>
        <w:trPr>
          <w:gridAfter w:val="1"/>
          <w:trHeight w:val="391"/>
        </w:trPr>
        <w:tc>
          <w:tcPr>
            <w:shd w:val="clear" w:color="auto" w:fill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133" w:type="pct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 xml:space="preserve">1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none" w:color="000000" w:sz="4" w:space="0"/>
            </w:tcBorders>
            <w:tcW w:w="360" w:type="pct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 xml:space="preserve">2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none" w:color="000000" w:sz="4" w:space="0"/>
            </w:tcBorders>
            <w:tcW w:w="301" w:type="pct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 xml:space="preserve">3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none" w:color="000000" w:sz="4" w:space="0"/>
            </w:tcBorders>
            <w:tcW w:w="512" w:type="pct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 xml:space="preserve">4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none" w:color="000000" w:sz="4" w:space="0"/>
            </w:tcBorders>
            <w:tcW w:w="226" w:type="pct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 xml:space="preserve">5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none" w:color="000000" w:sz="4" w:space="0"/>
            </w:tcBorders>
            <w:tcW w:w="403" w:type="pct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 xml:space="preserve">6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none" w:color="000000" w:sz="4" w:space="0"/>
            </w:tcBorders>
            <w:tcW w:w="721" w:type="pct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 xml:space="preserve">7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05" w:type="pct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 xml:space="preserve">8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50" w:type="pct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 xml:space="preserve">9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5" w:type="pct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 xml:space="preserve">10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single" w:sz="4" w:space="0" w:color="auto"/>
              <w:right w:val="single" w:sz="4" w:space="0" w:color="auto"/>
              <w:bottom w:val="none" w:color="000000" w:sz="4" w:space="0"/>
            </w:tcBorders>
            <w:tcW w:w="405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 xml:space="preserve">11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single" w:sz="4" w:space="0" w:color="auto"/>
              <w:right w:val="single" w:sz="4" w:space="0" w:color="auto"/>
              <w:bottom w:val="none" w:color="000000" w:sz="4" w:space="0"/>
            </w:tcBorders>
            <w:tcW w:w="315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 xml:space="preserve">12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single" w:sz="4" w:space="0" w:color="auto"/>
              <w:right w:val="single" w:sz="4" w:space="0" w:color="auto"/>
              <w:bottom w:val="none" w:color="000000" w:sz="4" w:space="0"/>
            </w:tcBorders>
            <w:tcW w:w="450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 xml:space="preserve">13</w:t>
            </w:r>
            <w:r/>
          </w:p>
        </w:tc>
      </w:tr>
      <w:tr>
        <w:trPr>
          <w:gridAfter w:val="1"/>
          <w:trHeight w:val="2539"/>
        </w:trPr>
        <w:tc>
          <w:tcPr>
            <w:shd w:val="clear" w:color="auto" w:fill="auto"/>
            <w:tcBorders>
              <w:left w:val="single" w:sz="4" w:space="0" w:color="auto"/>
              <w:top w:val="none" w:color="000000" w:sz="4" w:space="0"/>
              <w:right w:val="none" w:color="000000" w:sz="4" w:space="0"/>
              <w:bottom w:val="single" w:sz="4" w:space="0" w:color="auto"/>
            </w:tcBorders>
            <w:tcW w:w="133" w:type="pct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 xml:space="preserve">1</w:t>
            </w:r>
            <w:r/>
          </w:p>
        </w:tc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6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Сосновоборский район</w:t>
            </w:r>
            <w:r>
              <w:rPr>
                <w:sz w:val="18"/>
                <w:szCs w:val="18"/>
              </w:rPr>
              <w:t xml:space="preserve"> </w:t>
            </w:r>
            <w:r/>
          </w:p>
          <w:p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 xml:space="preserve">Пензенской области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single" w:sz="4" w:space="0" w:color="auto"/>
              <w:right w:val="none" w:color="000000" w:sz="4" w:space="0"/>
              <w:bottom w:val="single" w:sz="4" w:space="0" w:color="auto"/>
            </w:tcBorders>
            <w:tcW w:w="301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Село</w:t>
            </w:r>
            <w:r/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Альмяшевка</w:t>
            </w:r>
            <w:r/>
          </w:p>
        </w:tc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none" w:color="000000" w:sz="4" w:space="0"/>
              <w:bottom w:val="single" w:sz="4" w:space="0" w:color="auto"/>
            </w:tcBorders>
            <w:tcW w:w="512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 xml:space="preserve">Газопровод низкого давления к жилому дому, расположенному по адресу: Пензенская область, Сосновоборский район, село Альмяшевка, ул. Полевая, дом 33</w:t>
            </w:r>
            <w:r/>
          </w:p>
        </w:tc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26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 xml:space="preserve">058-26-279-000002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03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 xml:space="preserve">058-26-279-000002-00000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721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 xml:space="preserve">0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405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183 103,03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45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183 103,03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sz="4" w:space="0" w:color="auto"/>
            </w:tcBorders>
            <w:tcW w:w="315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</w:t>
            </w:r>
            <w:r>
              <w:rPr>
                <w:sz w:val="18"/>
                <w:szCs w:val="18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05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183 103,03   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5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</w:t>
            </w:r>
            <w:r>
              <w:rPr>
                <w:sz w:val="18"/>
                <w:szCs w:val="18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5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</w:t>
            </w:r>
            <w:r>
              <w:rPr>
                <w:sz w:val="18"/>
                <w:szCs w:val="18"/>
              </w:rPr>
              <w:t xml:space="preserve">0,00</w:t>
            </w:r>
            <w:r/>
          </w:p>
        </w:tc>
      </w:tr>
      <w:tr>
        <w:trPr>
          <w:gridAfter w:val="1"/>
          <w:trHeight w:val="2539"/>
        </w:trPr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33" w:type="pct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 xml:space="preserve">2</w:t>
            </w:r>
            <w:r/>
          </w:p>
        </w:tc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6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Кузнецкий район</w:t>
            </w:r>
            <w:r/>
          </w:p>
          <w:p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 xml:space="preserve">Пензенской области</w:t>
            </w:r>
            <w:r/>
          </w:p>
        </w:tc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none" w:color="000000" w:sz="4" w:space="0"/>
              <w:bottom w:val="single" w:sz="4" w:space="0" w:color="auto"/>
            </w:tcBorders>
            <w:tcW w:w="301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Село</w:t>
            </w:r>
            <w:r/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Сухановка</w:t>
            </w:r>
            <w:r/>
          </w:p>
        </w:tc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none" w:color="000000" w:sz="4" w:space="0"/>
              <w:bottom w:val="single" w:sz="4" w:space="0" w:color="auto"/>
            </w:tcBorders>
            <w:tcW w:w="512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 xml:space="preserve">Газопровод низкого давления к жилому дому, расположенному по адресу: Пензенская область, Кузнецкий район, село Сухановка, ул. Садовая, 28</w:t>
            </w:r>
            <w:r/>
          </w:p>
        </w:tc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26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 xml:space="preserve">058-26-279-000003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03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 xml:space="preserve">058-26-279-000003-00000</w:t>
            </w:r>
            <w:r/>
          </w:p>
        </w:tc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721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 xml:space="preserve">0</w:t>
            </w:r>
            <w:r/>
          </w:p>
        </w:tc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05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129 022,07</w:t>
            </w:r>
            <w:r/>
          </w:p>
        </w:tc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5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129 022,07</w:t>
            </w:r>
            <w:r/>
          </w:p>
        </w:tc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5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</w:t>
            </w:r>
            <w:r>
              <w:rPr>
                <w:sz w:val="18"/>
                <w:szCs w:val="18"/>
              </w:rPr>
              <w:t xml:space="preserve"> 0,00</w:t>
            </w:r>
            <w:r/>
          </w:p>
        </w:tc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05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129 022,07   </w:t>
            </w:r>
            <w:r/>
          </w:p>
        </w:tc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5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0,00</w:t>
            </w:r>
            <w:r>
              <w:rPr>
                <w:sz w:val="18"/>
                <w:szCs w:val="18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5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</w:t>
            </w:r>
            <w:r>
              <w:rPr>
                <w:sz w:val="18"/>
                <w:szCs w:val="18"/>
              </w:rPr>
              <w:t xml:space="preserve"> 0,00</w:t>
            </w:r>
            <w:r/>
          </w:p>
        </w:tc>
      </w:tr>
      <w:tr>
        <w:trPr>
          <w:gridAfter w:val="1"/>
          <w:trHeight w:val="2539"/>
        </w:trPr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none" w:color="000000" w:sz="4" w:space="0"/>
              <w:bottom w:val="single" w:sz="4" w:space="0" w:color="auto"/>
            </w:tcBorders>
            <w:tcW w:w="133" w:type="pct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 xml:space="preserve">3</w:t>
            </w:r>
            <w:r/>
          </w:p>
        </w:tc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6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Неверкинский район</w:t>
            </w:r>
            <w:r/>
          </w:p>
          <w:p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 xml:space="preserve">Пензенской области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single" w:sz="4" w:space="0" w:color="auto"/>
              <w:right w:val="none" w:color="000000" w:sz="4" w:space="0"/>
              <w:bottom w:val="single" w:sz="4" w:space="0" w:color="auto"/>
            </w:tcBorders>
            <w:tcW w:w="301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Село</w:t>
            </w:r>
            <w:r/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Елшанка</w:t>
            </w:r>
            <w:r/>
          </w:p>
        </w:tc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none" w:color="000000" w:sz="4" w:space="0"/>
              <w:bottom w:val="single" w:sz="4" w:space="0" w:color="auto"/>
            </w:tcBorders>
            <w:tcW w:w="512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 xml:space="preserve">Газопровод низкого давления к жилому дому, расположенному по адресу: Пензенская область, Неверкинский район, село Елшанка, ул. Центральная, 31</w:t>
            </w:r>
            <w:r/>
          </w:p>
        </w:tc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26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 xml:space="preserve">058-26-279-000005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03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 xml:space="preserve">058-26-279-000005-00000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721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 xml:space="preserve">0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05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355 267,26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5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355 267,26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single" w:sz="4" w:space="0" w:color="auto"/>
              <w:right w:val="none" w:color="000000" w:sz="4" w:space="0"/>
              <w:bottom w:val="single" w:sz="4" w:space="0" w:color="auto"/>
            </w:tcBorders>
            <w:tcW w:w="315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0,00</w:t>
            </w:r>
            <w:r>
              <w:rPr>
                <w:sz w:val="18"/>
                <w:szCs w:val="18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05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</w:t>
            </w:r>
            <w:r>
              <w:rPr>
                <w:sz w:val="18"/>
                <w:szCs w:val="18"/>
              </w:rPr>
              <w:t xml:space="preserve"> 0,00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5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0,00</w:t>
            </w:r>
            <w:r>
              <w:rPr>
                <w:sz w:val="18"/>
                <w:szCs w:val="18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5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355 267,26</w:t>
            </w:r>
            <w:r/>
          </w:p>
        </w:tc>
      </w:tr>
      <w:tr>
        <w:trPr>
          <w:gridAfter w:val="1"/>
          <w:trHeight w:val="2539"/>
        </w:trPr>
        <w:tc>
          <w:tcPr>
            <w:shd w:val="clear" w:color="auto" w:fill="auto"/>
            <w:tcBorders>
              <w:left w:val="single" w:sz="4" w:space="0" w:color="auto"/>
              <w:top w:val="none" w:color="000000" w:sz="4" w:space="0"/>
              <w:right w:val="none" w:color="000000" w:sz="4" w:space="0"/>
              <w:bottom w:val="single" w:sz="4" w:space="0" w:color="auto"/>
            </w:tcBorders>
            <w:tcW w:w="133" w:type="pct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 xml:space="preserve">4</w:t>
            </w:r>
            <w:r/>
          </w:p>
        </w:tc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6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Кузнецкий район</w:t>
            </w:r>
            <w:r/>
          </w:p>
          <w:p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 xml:space="preserve">Пензенской области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single" w:sz="4" w:space="0" w:color="auto"/>
              <w:right w:val="none" w:color="000000" w:sz="4" w:space="0"/>
              <w:bottom w:val="single" w:sz="4" w:space="0" w:color="auto"/>
            </w:tcBorders>
            <w:tcW w:w="301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Село</w:t>
            </w:r>
            <w:r/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Монастырское</w:t>
            </w:r>
            <w:r/>
          </w:p>
        </w:tc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none" w:color="000000" w:sz="4" w:space="0"/>
              <w:bottom w:val="single" w:sz="4" w:space="0" w:color="auto"/>
            </w:tcBorders>
            <w:tcW w:w="512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 xml:space="preserve">Газопровод низкого давления к жилому дому, расположенному по адресу: Пензенская область, Кузнецкий район, село Монастырское, ул. Почтовая, 28</w:t>
            </w:r>
            <w:r/>
          </w:p>
        </w:tc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26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 xml:space="preserve">058-26-279-000006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03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 xml:space="preserve">058-26-279-000006-00000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721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 xml:space="preserve">0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405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310 195,71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45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310 195,71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sz="4" w:space="0" w:color="auto"/>
            </w:tcBorders>
            <w:tcW w:w="315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0,00</w:t>
            </w:r>
            <w:r>
              <w:rPr>
                <w:sz w:val="18"/>
                <w:szCs w:val="18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05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0,00</w:t>
            </w:r>
            <w:r>
              <w:rPr>
                <w:sz w:val="18"/>
                <w:szCs w:val="18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5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0,00</w:t>
            </w:r>
            <w:r>
              <w:rPr>
                <w:sz w:val="18"/>
                <w:szCs w:val="18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5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310 195,71</w:t>
            </w:r>
            <w:r/>
          </w:p>
        </w:tc>
      </w:tr>
      <w:tr>
        <w:trPr>
          <w:gridAfter w:val="1"/>
          <w:trHeight w:val="2539"/>
        </w:trPr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33" w:type="pct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 xml:space="preserve">5</w:t>
            </w:r>
            <w:r/>
          </w:p>
        </w:tc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6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Кузнецкий район</w:t>
            </w:r>
            <w:r/>
          </w:p>
          <w:p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 xml:space="preserve">Пензенской области</w:t>
            </w:r>
            <w:r/>
          </w:p>
        </w:tc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01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Село</w:t>
            </w:r>
            <w:r/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Пионер</w:t>
            </w:r>
            <w:r/>
          </w:p>
        </w:tc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512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 xml:space="preserve">Газопровод низкого давления к жилому дому, расположенному по адресу: Пензенская область, Кузнецкий район, село Пионер, ул. Ключевая, 1а</w:t>
            </w:r>
            <w:r/>
          </w:p>
        </w:tc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26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 xml:space="preserve">058-26-279-000007</w:t>
            </w:r>
            <w:r/>
          </w:p>
        </w:tc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03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 xml:space="preserve">058-26-279-000007-00000</w:t>
            </w:r>
            <w:r/>
          </w:p>
        </w:tc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721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 xml:space="preserve">0</w:t>
            </w:r>
            <w:r/>
          </w:p>
        </w:tc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05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487 707,78</w:t>
            </w:r>
            <w:r/>
          </w:p>
        </w:tc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5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487 707,78</w:t>
            </w:r>
            <w:r/>
          </w:p>
        </w:tc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5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0,00</w:t>
            </w:r>
            <w:r>
              <w:rPr>
                <w:sz w:val="18"/>
                <w:szCs w:val="18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05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</w:t>
            </w:r>
            <w:r>
              <w:rPr>
                <w:sz w:val="18"/>
                <w:szCs w:val="18"/>
              </w:rPr>
              <w:t xml:space="preserve"> 0,00</w:t>
            </w:r>
            <w:r/>
          </w:p>
        </w:tc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5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0,00</w:t>
            </w:r>
            <w:r>
              <w:rPr>
                <w:sz w:val="18"/>
                <w:szCs w:val="18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5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487 707,78</w:t>
            </w:r>
            <w:r/>
          </w:p>
        </w:tc>
      </w:tr>
      <w:tr>
        <w:trPr>
          <w:gridAfter w:val="1"/>
          <w:trHeight w:val="2539"/>
        </w:trPr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none" w:color="000000" w:sz="4" w:space="0"/>
              <w:bottom w:val="single" w:sz="4" w:space="0" w:color="auto"/>
            </w:tcBorders>
            <w:tcW w:w="133" w:type="pct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 xml:space="preserve">6</w:t>
            </w:r>
            <w:r/>
          </w:p>
        </w:tc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6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Кузнецкий район</w:t>
            </w:r>
            <w:r/>
          </w:p>
          <w:p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 xml:space="preserve">Пензенской области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single" w:sz="4" w:space="0" w:color="auto"/>
              <w:right w:val="none" w:color="000000" w:sz="4" w:space="0"/>
              <w:bottom w:val="single" w:sz="4" w:space="0" w:color="auto"/>
            </w:tcBorders>
            <w:tcW w:w="301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Село</w:t>
            </w:r>
            <w:r/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Ульяновка</w:t>
            </w:r>
            <w:r/>
          </w:p>
        </w:tc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none" w:color="000000" w:sz="4" w:space="0"/>
              <w:bottom w:val="single" w:sz="4" w:space="0" w:color="auto"/>
            </w:tcBorders>
            <w:tcW w:w="512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 xml:space="preserve">Газопровод низкого давления к жилому дому, расположенному по адресу: Пензенская область, Кузнецкий район, село Ульяновка, ул. Надежденская, 1/А</w:t>
            </w:r>
            <w:r/>
          </w:p>
        </w:tc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26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 xml:space="preserve">058-26-279-000008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03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 xml:space="preserve">058-26-279-000008-00000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721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 xml:space="preserve">0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05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333 666,45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5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333 666,45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single" w:sz="4" w:space="0" w:color="auto"/>
              <w:right w:val="none" w:color="000000" w:sz="4" w:space="0"/>
              <w:bottom w:val="single" w:sz="4" w:space="0" w:color="auto"/>
            </w:tcBorders>
            <w:tcW w:w="315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0,00</w:t>
            </w:r>
            <w:r>
              <w:rPr>
                <w:sz w:val="18"/>
                <w:szCs w:val="18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05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</w:t>
            </w:r>
            <w:r>
              <w:rPr>
                <w:sz w:val="18"/>
                <w:szCs w:val="18"/>
              </w:rPr>
              <w:t xml:space="preserve"> 0,00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5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0,00</w:t>
            </w:r>
            <w:r>
              <w:rPr>
                <w:sz w:val="18"/>
                <w:szCs w:val="18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5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333 666,45</w:t>
            </w:r>
            <w:r/>
          </w:p>
        </w:tc>
      </w:tr>
      <w:tr>
        <w:trPr>
          <w:gridAfter w:val="1"/>
          <w:trHeight w:val="2539"/>
        </w:trPr>
        <w:tc>
          <w:tcPr>
            <w:shd w:val="clear" w:color="auto" w:fill="auto"/>
            <w:tcBorders>
              <w:left w:val="single" w:sz="4" w:space="0" w:color="auto"/>
              <w:top w:val="none" w:color="000000" w:sz="4" w:space="0"/>
              <w:right w:val="none" w:color="000000" w:sz="4" w:space="0"/>
              <w:bottom w:val="single" w:sz="4" w:space="0" w:color="auto"/>
            </w:tcBorders>
            <w:tcW w:w="133" w:type="pct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 xml:space="preserve">7</w:t>
            </w:r>
            <w:r/>
          </w:p>
        </w:tc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6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Неверкинский район</w:t>
            </w:r>
            <w:r/>
          </w:p>
          <w:p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 xml:space="preserve">Пензенской области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single" w:sz="4" w:space="0" w:color="auto"/>
              <w:right w:val="none" w:color="000000" w:sz="4" w:space="0"/>
              <w:bottom w:val="single" w:sz="4" w:space="0" w:color="auto"/>
            </w:tcBorders>
            <w:tcW w:w="301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Село</w:t>
            </w:r>
            <w:r/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Березовка</w:t>
            </w:r>
            <w:r/>
          </w:p>
        </w:tc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none" w:color="000000" w:sz="4" w:space="0"/>
              <w:bottom w:val="single" w:sz="4" w:space="0" w:color="auto"/>
            </w:tcBorders>
            <w:tcW w:w="512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 xml:space="preserve">Газопровод низкого давления к жилому дому, расположенному по адресу: Пензенская область, Неверкинский район, село Березовка, ул. Колхозная, 1</w:t>
            </w:r>
            <w:r/>
          </w:p>
        </w:tc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26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 xml:space="preserve">058-26-279-000009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03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 xml:space="preserve">058-26-279-000009-00000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721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 xml:space="preserve">0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405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263 032,58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45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263 032,58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sz="4" w:space="0" w:color="auto"/>
            </w:tcBorders>
            <w:tcW w:w="315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</w:t>
            </w:r>
            <w:r>
              <w:rPr>
                <w:sz w:val="18"/>
                <w:szCs w:val="18"/>
              </w:rPr>
              <w:t xml:space="preserve"> 0,00</w:t>
            </w:r>
            <w:r/>
          </w:p>
        </w:tc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05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</w:t>
            </w:r>
            <w:r>
              <w:rPr>
                <w:sz w:val="18"/>
                <w:szCs w:val="18"/>
              </w:rPr>
              <w:t xml:space="preserve"> 0,00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5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0,00</w:t>
            </w:r>
            <w:r>
              <w:rPr>
                <w:sz w:val="18"/>
                <w:szCs w:val="18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5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263 032,58</w:t>
            </w:r>
            <w:r/>
          </w:p>
        </w:tc>
      </w:tr>
      <w:tr>
        <w:trPr>
          <w:gridAfter w:val="1"/>
          <w:trHeight w:val="2539"/>
        </w:trPr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33" w:type="pct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 xml:space="preserve">8</w:t>
            </w:r>
            <w:r/>
          </w:p>
        </w:tc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6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Сосновоборский район</w:t>
            </w:r>
            <w:r/>
          </w:p>
          <w:p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 xml:space="preserve">Пензенской области</w:t>
            </w:r>
            <w:r/>
          </w:p>
        </w:tc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none" w:color="000000" w:sz="4" w:space="0"/>
              <w:bottom w:val="single" w:sz="4" w:space="0" w:color="auto"/>
            </w:tcBorders>
            <w:tcW w:w="301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Село</w:t>
            </w:r>
            <w:r/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Альмяшевка</w:t>
            </w:r>
            <w:r/>
          </w:p>
        </w:tc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none" w:color="000000" w:sz="4" w:space="0"/>
              <w:bottom w:val="single" w:sz="4" w:space="0" w:color="auto"/>
            </w:tcBorders>
            <w:tcW w:w="512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 xml:space="preserve">Газопровод низкого давления к жилому дому, расположенному по адресу: Пензенская область, Сосновоборский район, село Альмяшевка, пер. Заречный, 5</w:t>
            </w:r>
            <w:r/>
          </w:p>
        </w:tc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26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 xml:space="preserve">058-26-279-000010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03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 xml:space="preserve">058-26-279-000010-00000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721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 xml:space="preserve">0</w:t>
            </w:r>
            <w:r/>
          </w:p>
        </w:tc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05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341 263,06</w:t>
            </w:r>
            <w:r/>
          </w:p>
        </w:tc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5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341 263,06</w:t>
            </w:r>
            <w:r/>
          </w:p>
        </w:tc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5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0,00</w:t>
            </w:r>
            <w:r>
              <w:rPr>
                <w:sz w:val="18"/>
                <w:szCs w:val="18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05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0,00</w:t>
            </w:r>
            <w:r>
              <w:rPr>
                <w:sz w:val="18"/>
                <w:szCs w:val="18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5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</w:t>
            </w:r>
            <w:r>
              <w:rPr>
                <w:sz w:val="18"/>
                <w:szCs w:val="18"/>
              </w:rPr>
              <w:t xml:space="preserve"> 0,00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5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341 263,06</w:t>
            </w:r>
            <w:r/>
          </w:p>
        </w:tc>
      </w:tr>
      <w:tr>
        <w:trPr>
          <w:gridAfter w:val="1"/>
          <w:trHeight w:val="2539"/>
        </w:trPr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none" w:color="000000" w:sz="4" w:space="0"/>
              <w:bottom w:val="single" w:sz="4" w:space="0" w:color="auto"/>
            </w:tcBorders>
            <w:tcW w:w="133" w:type="pct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 xml:space="preserve">9</w:t>
            </w:r>
            <w:r/>
          </w:p>
        </w:tc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6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Кузнецкий район</w:t>
            </w:r>
            <w:r/>
          </w:p>
          <w:p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 xml:space="preserve">Пензенской области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single" w:sz="4" w:space="0" w:color="auto"/>
              <w:right w:val="none" w:color="000000" w:sz="4" w:space="0"/>
              <w:bottom w:val="single" w:sz="4" w:space="0" w:color="auto"/>
            </w:tcBorders>
            <w:tcW w:w="301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Село</w:t>
            </w:r>
            <w:r/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Ульянов</w:t>
            </w:r>
            <w:r/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ка</w:t>
            </w:r>
            <w:r/>
          </w:p>
        </w:tc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none" w:color="000000" w:sz="4" w:space="0"/>
              <w:bottom w:val="single" w:sz="4" w:space="0" w:color="auto"/>
            </w:tcBorders>
            <w:tcW w:w="512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 xml:space="preserve">Газопровод низкого давления к жилому дому, расположенному по адресу: Пензенская область, Кузнецкий район, село Ульяновка, ул. Инженерная, 21</w:t>
            </w:r>
            <w:r/>
          </w:p>
        </w:tc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26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 xml:space="preserve">058-26-279-000011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03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 xml:space="preserve">058-26-279-000011-00000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721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 xml:space="preserve">0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05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 xml:space="preserve">301 450,81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5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 xml:space="preserve">301 450,81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single" w:sz="4" w:space="0" w:color="auto"/>
              <w:right w:val="none" w:color="000000" w:sz="4" w:space="0"/>
              <w:bottom w:val="single" w:sz="4" w:space="0" w:color="auto"/>
            </w:tcBorders>
            <w:tcW w:w="315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 xml:space="preserve"> 0,00</w:t>
            </w:r>
            <w:r>
              <w:rPr>
                <w:sz w:val="18"/>
                <w:szCs w:val="18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05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 xml:space="preserve"> 0,00</w:t>
            </w:r>
            <w:r>
              <w:rPr>
                <w:sz w:val="18"/>
                <w:szCs w:val="18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5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 xml:space="preserve"> </w:t>
            </w:r>
            <w:r>
              <w:rPr>
                <w:sz w:val="18"/>
                <w:szCs w:val="18"/>
              </w:rPr>
              <w:t xml:space="preserve"> 0,00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5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 xml:space="preserve">301 450,81</w:t>
            </w:r>
            <w:r/>
          </w:p>
        </w:tc>
      </w:tr>
      <w:tr>
        <w:trPr>
          <w:gridAfter w:val="1"/>
          <w:trHeight w:val="1257"/>
        </w:trPr>
        <w:tc>
          <w:tcPr>
            <w:shd w:val="clear" w:color="auto" w:fill="auto"/>
            <w:tcBorders>
              <w:left w:val="single" w:sz="4" w:space="0" w:color="auto"/>
              <w:top w:val="none" w:color="000000" w:sz="4" w:space="0"/>
              <w:right w:val="none" w:color="000000" w:sz="4" w:space="0"/>
              <w:bottom w:val="single" w:sz="4" w:space="0" w:color="auto"/>
            </w:tcBorders>
            <w:tcW w:w="133" w:type="pct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 xml:space="preserve">10</w:t>
            </w:r>
            <w:r/>
          </w:p>
        </w:tc>
        <w:tc>
          <w:tcPr>
            <w:shd w:val="clear" w:color="auto" w:fill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36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город</w:t>
            </w:r>
            <w:r/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Кузнецк</w:t>
            </w:r>
            <w:r/>
          </w:p>
          <w:p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 xml:space="preserve">Пензенской области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sz="4" w:space="0" w:color="auto"/>
            </w:tcBorders>
            <w:tcW w:w="301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город</w:t>
            </w:r>
            <w:r/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Кузнецк</w:t>
            </w:r>
            <w:r/>
          </w:p>
        </w:tc>
        <w:tc>
          <w:tcPr>
            <w:shd w:val="clear" w:color="auto" w:fill="auto"/>
            <w:tcBorders>
              <w:left w:val="single" w:sz="4" w:space="0" w:color="auto"/>
              <w:top w:val="none" w:color="000000" w:sz="4" w:space="0"/>
              <w:right w:val="none" w:color="000000" w:sz="4" w:space="0"/>
              <w:bottom w:val="single" w:sz="4" w:space="0" w:color="auto"/>
            </w:tcBorders>
            <w:tcW w:w="512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 xml:space="preserve">Газопровод низкого давления к жилому дому, расположенному по адресу: Пензенская область, г. Кузнецк, ул. Маяковского, 108Б</w:t>
            </w:r>
            <w:r/>
          </w:p>
        </w:tc>
        <w:tc>
          <w:tcPr>
            <w:shd w:val="clear" w:color="auto" w:fill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 xml:space="preserve">058-26-279-000012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403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 xml:space="preserve">058-26-279-000012-00000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21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 xml:space="preserve">0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405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162 835,01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45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162 835,01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sz="4" w:space="0" w:color="auto"/>
            </w:tcBorders>
            <w:tcW w:w="315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</w:t>
            </w:r>
            <w:r>
              <w:rPr>
                <w:sz w:val="18"/>
                <w:szCs w:val="18"/>
              </w:rPr>
              <w:t xml:space="preserve"> 0,00</w:t>
            </w:r>
            <w:r/>
          </w:p>
        </w:tc>
        <w:tc>
          <w:tcPr>
            <w:shd w:val="clear" w:color="auto" w:fill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405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</w:t>
            </w:r>
            <w:r>
              <w:rPr>
                <w:sz w:val="18"/>
                <w:szCs w:val="18"/>
              </w:rPr>
              <w:t xml:space="preserve"> 0,00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315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</w:t>
            </w:r>
            <w:r>
              <w:rPr>
                <w:sz w:val="18"/>
                <w:szCs w:val="18"/>
              </w:rPr>
              <w:t xml:space="preserve"> 0,00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450" w:type="pct"/>
            <w:vAlign w:val="center"/>
            <w:textDirection w:val="lrTb"/>
            <w:noWrap w:val="false"/>
          </w:tcPr>
          <w:p>
            <w:pPr>
              <w:ind w:left="180" w:hanging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162 835,01</w:t>
            </w:r>
            <w:r/>
          </w:p>
        </w:tc>
      </w:tr>
      <w:tr>
        <w:trPr>
          <w:trHeight w:val="789"/>
        </w:trPr>
        <w:tc>
          <w:tcPr>
            <w:gridSpan w:val="7"/>
            <w:shd w:val="clear" w:color="auto" w:fill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656" w:type="pct"/>
            <w:vAlign w:val="bottom"/>
            <w:textDirection w:val="lrTb"/>
            <w:noWrap/>
          </w:tcPr>
          <w:p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sz w:val="18"/>
                <w:szCs w:val="18"/>
              </w:rPr>
              <w:t xml:space="preserve">Всего: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405" w:type="pct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sz w:val="18"/>
                <w:szCs w:val="18"/>
              </w:rPr>
              <w:t xml:space="preserve">2 867 543,76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450" w:type="pct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sz w:val="18"/>
                <w:szCs w:val="18"/>
              </w:rPr>
              <w:t xml:space="preserve">2 867 543,76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315" w:type="pct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sz w:val="18"/>
                <w:szCs w:val="18"/>
              </w:rPr>
              <w:t xml:space="preserve">0,00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405" w:type="pct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sz w:val="18"/>
                <w:szCs w:val="18"/>
              </w:rPr>
              <w:t xml:space="preserve">312 125,10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315" w:type="pct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sz w:val="18"/>
                <w:szCs w:val="18"/>
              </w:rPr>
              <w:t xml:space="preserve">0,00</w:t>
            </w:r>
            <w:r/>
          </w:p>
        </w:tc>
        <w:tc>
          <w:tcPr>
            <w:gridSpan w:val="2"/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454" w:type="pct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sz w:val="18"/>
                <w:szCs w:val="18"/>
              </w:rPr>
              <w:t xml:space="preserve">2 555 418,66</w:t>
            </w:r>
            <w:r/>
          </w:p>
        </w:tc>
      </w:tr>
    </w:tbl>
    <w:p>
      <w:pPr>
        <w:jc w:val="both"/>
        <w:rPr>
          <w:sz w:val="18"/>
          <w:szCs w:val="18"/>
        </w:rPr>
      </w:pPr>
      <w:r>
        <w:rPr>
          <w:sz w:val="18"/>
          <w:szCs w:val="18"/>
        </w:rPr>
      </w:r>
      <w:r/>
    </w:p>
    <w:p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&lt;1&gt; Правила взаимодействия единого оператора газификации, регионального оператора газифик</w:t>
      </w:r>
      <w:r>
        <w:rPr>
          <w:sz w:val="18"/>
          <w:szCs w:val="18"/>
        </w:rPr>
        <w:t xml:space="preserve">ации, органов государственной власти субъектов Российской Федерации, органов публичной власти федеральных территорий, газотранспортных организаций, а также газораспределительных организаций, привлекаемых единым оператором газификации или региональным опера</w:t>
      </w:r>
      <w:r>
        <w:rPr>
          <w:sz w:val="18"/>
          <w:szCs w:val="18"/>
        </w:rPr>
        <w:t xml:space="preserve">тором газификации, при реализации мероприятий межрегиональных и региональных программ газификации жилищно-коммунального хозяйства, промышленных и иных организаций, утвержденные постановлением Правительства Российской Федерации от 13 сентября 2021 г. N 1550</w:t>
      </w:r>
      <w:r/>
    </w:p>
    <w:sectPr>
      <w:footnotePr/>
      <w:endnotePr/>
      <w:type w:val="nextPage"/>
      <w:pgSz w:w="16838" w:h="11906" w:orient="landscape"/>
      <w:pgMar w:top="1135" w:right="395" w:bottom="993" w:left="993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/>
      <w:r>
        <w:separator/>
      </w:r>
      <w:r/>
    </w:p>
  </w:endnote>
  <w:endnote w:type="continuationSeparator" w:id="0">
    <w:p>
      <w:pPr>
        <w:spacing w:lineRule="auto" w:line="240" w:after="0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Symbol">
    <w:panose1 w:val="05050102010706020507"/>
  </w:font>
  <w:font w:name="Tahoma">
    <w:panose1 w:val="020B0604030504040204"/>
  </w:font>
  <w:font w:name="Courier New">
    <w:panose1 w:val="02070309020205020404"/>
  </w:font>
  <w:font w:name="Cambria">
    <w:panose1 w:val="0204050305040603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/>
      <w:r>
        <w:separator/>
      </w:r>
      <w:r/>
    </w:p>
  </w:footnote>
  <w:footnote w:type="continuationSeparator" w:id="0">
    <w:p>
      <w:pPr>
        <w:spacing w:lineRule="auto" w:line="240" w:after="0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613" w:hanging="360"/>
      </w:pPr>
      <w:rPr>
        <w:rFonts w:hint="default"/>
        <w:b w:val="false"/>
        <w:i w:val="false"/>
        <w:sz w:val="27"/>
        <w:szCs w:val="27"/>
      </w:rPr>
    </w:lvl>
    <w:lvl w:ilvl="1">
      <w:start w:val="1"/>
      <w:numFmt w:val="lowerLetter"/>
      <w:isLgl w:val="false"/>
      <w:suff w:val="tab"/>
      <w:lvlText w:val="%2."/>
      <w:lvlJc w:val="left"/>
      <w:pPr>
        <w:ind w:left="5333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605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6773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749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821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893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965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10373" w:hanging="18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303" w:hanging="360"/>
        <w:tabs>
          <w:tab w:val="num" w:pos="3303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4023" w:hanging="360"/>
        <w:tabs>
          <w:tab w:val="num" w:pos="4023" w:leader="none"/>
        </w:tabs>
      </w:pPr>
      <w:rPr>
        <w:rFonts w:ascii="Courier New" w:hAnsi="Courier New" w:hint="default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4743" w:hanging="360"/>
        <w:tabs>
          <w:tab w:val="num" w:pos="4743" w:leader="none"/>
        </w:tabs>
      </w:pPr>
      <w:rPr>
        <w:rFonts w:ascii="Wingdings" w:hAnsi="Wingdings" w:hint="default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5463" w:hanging="360"/>
        <w:tabs>
          <w:tab w:val="num" w:pos="5463" w:leader="none"/>
        </w:tabs>
      </w:pPr>
      <w:rPr>
        <w:rFonts w:ascii="Wingdings" w:hAnsi="Wingdings" w:hint="default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6183" w:hanging="360"/>
        <w:tabs>
          <w:tab w:val="num" w:pos="6183" w:leader="none"/>
        </w:tabs>
      </w:pPr>
      <w:rPr>
        <w:rFonts w:ascii="Wingdings" w:hAnsi="Wingdings" w:hint="default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6903" w:hanging="360"/>
        <w:tabs>
          <w:tab w:val="num" w:pos="6903" w:leader="none"/>
        </w:tabs>
      </w:pPr>
      <w:rPr>
        <w:rFonts w:ascii="Wingdings" w:hAnsi="Wingdings" w:hint="default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7623" w:hanging="360"/>
        <w:tabs>
          <w:tab w:val="num" w:pos="7623" w:leader="none"/>
        </w:tabs>
      </w:pPr>
      <w:rPr>
        <w:rFonts w:ascii="Wingdings" w:hAnsi="Wingdings" w:hint="default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8343" w:hanging="360"/>
        <w:tabs>
          <w:tab w:val="num" w:pos="8343" w:leader="none"/>
        </w:tabs>
      </w:pPr>
      <w:rPr>
        <w:rFonts w:ascii="Wingdings" w:hAnsi="Wingdings" w:hint="default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9063" w:hanging="360"/>
        <w:tabs>
          <w:tab w:val="num" w:pos="9063" w:leader="none"/>
        </w:tabs>
      </w:pPr>
      <w:rPr>
        <w:rFonts w:ascii="Wingdings" w:hAnsi="Wingdings" w:hint="default"/>
        <w:sz w:val="20"/>
      </w:rPr>
    </w:lvl>
  </w:abstractNum>
  <w:abstractNum w:abstractNumId="3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4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5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hint="default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 w:hint="default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 w:hint="default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  <w:sz w:val="20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hint="default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 w:hint="default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 w:hint="default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  <w:sz w:val="20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multiLevelType w:val="hybridMultilevel"/>
    <w:lvl w:ilvl="0">
      <w:start w:val="2"/>
      <w:numFmt w:val="decimal"/>
      <w:isLgl w:val="false"/>
      <w:suff w:val="tab"/>
      <w:lvlText w:val="2.%1. "/>
      <w:legacy w:legacy="1" w:legacyIndent="283" w:legacySpace="0"/>
      <w:lvlJc w:val="left"/>
      <w:pPr>
        <w:ind w:left="3402" w:hanging="283"/>
      </w:pPr>
      <w:rPr>
        <w:b w:val="false"/>
        <w:i w:val="false"/>
        <w:sz w:val="28"/>
        <w:szCs w:val="28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3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9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073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9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13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3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95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7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9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13" w:hanging="180"/>
      </w:p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47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63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479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7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8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2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lowerLetter"/>
      <w:isLgl w:val="false"/>
      <w:suff w:val="tab"/>
      <w:lvlText w:val="%2."/>
      <w:lvlJc w:val="left"/>
      <w:pPr>
        <w:ind w:left="229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01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73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45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7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9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61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331" w:hanging="180"/>
      </w:pPr>
    </w:lvl>
  </w:abstractNum>
  <w:abstractNum w:abstractNumId="20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2340" w:hanging="360"/>
        <w:tabs>
          <w:tab w:val="num" w:pos="234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3060" w:hanging="360"/>
        <w:tabs>
          <w:tab w:val="num" w:pos="306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3780" w:hanging="360"/>
        <w:tabs>
          <w:tab w:val="num" w:pos="378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4500" w:hanging="360"/>
        <w:tabs>
          <w:tab w:val="num" w:pos="450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5220" w:hanging="360"/>
        <w:tabs>
          <w:tab w:val="num" w:pos="522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5940" w:hanging="360"/>
        <w:tabs>
          <w:tab w:val="num" w:pos="594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6660" w:hanging="360"/>
        <w:tabs>
          <w:tab w:val="num" w:pos="666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7380" w:hanging="360"/>
        <w:tabs>
          <w:tab w:val="num" w:pos="738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8100" w:hanging="360"/>
        <w:tabs>
          <w:tab w:val="num" w:pos="8100" w:leader="none"/>
        </w:tabs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00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21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60" w:hanging="180"/>
      </w:pPr>
    </w:lvl>
  </w:abstractNum>
  <w:abstractNum w:abstractNumId="22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9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hint="default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 w:hint="default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 w:hint="default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1"/>
  </w:num>
  <w:num w:numId="3">
    <w:abstractNumId w:val="5"/>
  </w:num>
  <w:num w:numId="4">
    <w:abstractNumId w:val="1"/>
  </w:num>
  <w:num w:numId="5">
    <w:abstractNumId w:val="6"/>
  </w:num>
  <w:num w:numId="6">
    <w:abstractNumId w:val="23"/>
  </w:num>
  <w:num w:numId="7">
    <w:abstractNumId w:val="18"/>
  </w:num>
  <w:num w:numId="8">
    <w:abstractNumId w:val="4"/>
  </w:num>
  <w:num w:numId="9">
    <w:abstractNumId w:val="22"/>
  </w:num>
  <w:num w:numId="10">
    <w:abstractNumId w:val="13"/>
  </w:num>
  <w:num w:numId="11">
    <w:abstractNumId w:val="3"/>
  </w:num>
  <w:num w:numId="12">
    <w:abstractNumId w:val="20"/>
  </w:num>
  <w:num w:numId="13">
    <w:abstractNumId w:val="7"/>
  </w:num>
  <w:num w:numId="14">
    <w:abstractNumId w:val="2"/>
  </w:num>
  <w:num w:numId="15">
    <w:abstractNumId w:val="9"/>
  </w:num>
  <w:num w:numId="16">
    <w:abstractNumId w:val="16"/>
  </w:num>
  <w:num w:numId="17">
    <w:abstractNumId w:val="10"/>
  </w:num>
  <w:num w:numId="18">
    <w:abstractNumId w:val="21"/>
  </w:num>
  <w:num w:numId="19">
    <w:abstractNumId w:val="8"/>
  </w:num>
  <w:num w:numId="20">
    <w:abstractNumId w:val="14"/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</w:num>
  <w:num w:numId="23">
    <w:abstractNumId w:val="17"/>
  </w:num>
  <w:num w:numId="24">
    <w:abstractNumId w:val="12"/>
  </w:num>
  <w:num w:numId="25">
    <w:abstractNumId w:val="15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,"/>
  <w:listSeparator w:val=";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Calibri" w:eastAsia="Calibri"/>
        <w:sz w:val="22"/>
        <w:szCs w:val="22"/>
        <w:lang w:val="ru-RU" w:bidi="ar-SA" w:eastAsia="en-US"/>
      </w:rPr>
    </w:rPrDefault>
    <w:pPrDefault>
      <w:pPr>
        <w:spacing w:lineRule="auto" w:line="276" w:after="200" w:afterAutospacing="0" w:before="0" w:beforeAutospacing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2">
    <w:name w:val="Heading 1 Char"/>
    <w:basedOn w:val="464"/>
    <w:link w:val="461"/>
    <w:uiPriority w:val="9"/>
    <w:rPr>
      <w:rFonts w:ascii="Arial" w:hAnsi="Arial" w:cs="Arial" w:eastAsia="Arial"/>
      <w:sz w:val="40"/>
      <w:szCs w:val="40"/>
    </w:rPr>
  </w:style>
  <w:style w:type="character" w:styleId="14">
    <w:name w:val="Heading 2 Char"/>
    <w:basedOn w:val="464"/>
    <w:link w:val="462"/>
    <w:uiPriority w:val="9"/>
    <w:rPr>
      <w:rFonts w:ascii="Arial" w:hAnsi="Arial" w:cs="Arial" w:eastAsia="Arial"/>
      <w:sz w:val="34"/>
    </w:rPr>
  </w:style>
  <w:style w:type="character" w:styleId="16">
    <w:name w:val="Heading 3 Char"/>
    <w:basedOn w:val="464"/>
    <w:link w:val="463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460"/>
    <w:next w:val="460"/>
    <w:link w:val="18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18">
    <w:name w:val="Heading 4 Char"/>
    <w:basedOn w:val="464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460"/>
    <w:next w:val="460"/>
    <w:link w:val="20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20">
    <w:name w:val="Heading 5 Char"/>
    <w:basedOn w:val="464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460"/>
    <w:next w:val="460"/>
    <w:link w:val="22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22">
    <w:name w:val="Heading 6 Char"/>
    <w:basedOn w:val="464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460"/>
    <w:next w:val="460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464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460"/>
    <w:next w:val="460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464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460"/>
    <w:next w:val="460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464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31">
    <w:name w:val="No Spacing"/>
    <w:qFormat/>
    <w:uiPriority w:val="1"/>
    <w:pPr>
      <w:spacing w:lineRule="auto" w:line="240" w:after="0" w:before="0"/>
    </w:pPr>
  </w:style>
  <w:style w:type="paragraph" w:styleId="32">
    <w:name w:val="Title"/>
    <w:basedOn w:val="460"/>
    <w:next w:val="460"/>
    <w:link w:val="33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33">
    <w:name w:val="Title Char"/>
    <w:basedOn w:val="464"/>
    <w:link w:val="32"/>
    <w:uiPriority w:val="10"/>
    <w:rPr>
      <w:sz w:val="48"/>
      <w:szCs w:val="48"/>
    </w:rPr>
  </w:style>
  <w:style w:type="paragraph" w:styleId="34">
    <w:name w:val="Subtitle"/>
    <w:basedOn w:val="460"/>
    <w:next w:val="460"/>
    <w:link w:val="35"/>
    <w:qFormat/>
    <w:uiPriority w:val="11"/>
    <w:rPr>
      <w:sz w:val="24"/>
      <w:szCs w:val="24"/>
    </w:rPr>
    <w:pPr>
      <w:spacing w:after="200" w:before="200"/>
    </w:pPr>
  </w:style>
  <w:style w:type="character" w:styleId="35">
    <w:name w:val="Subtitle Char"/>
    <w:basedOn w:val="464"/>
    <w:link w:val="34"/>
    <w:uiPriority w:val="11"/>
    <w:rPr>
      <w:sz w:val="24"/>
      <w:szCs w:val="24"/>
    </w:rPr>
  </w:style>
  <w:style w:type="paragraph" w:styleId="36">
    <w:name w:val="Quote"/>
    <w:basedOn w:val="460"/>
    <w:next w:val="460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460"/>
    <w:next w:val="460"/>
    <w:link w:val="39"/>
    <w:qFormat/>
    <w:uiPriority w:val="30"/>
    <w:rPr>
      <w:i/>
    </w:rPr>
    <w:pPr>
      <w:contextualSpacing w:val="false"/>
      <w:ind w:left="720" w:right="720"/>
      <w:shd w:val="clear" w:fill="F2F2F2" w:color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character" w:styleId="41">
    <w:name w:val="Header Char"/>
    <w:basedOn w:val="464"/>
    <w:link w:val="481"/>
    <w:uiPriority w:val="99"/>
  </w:style>
  <w:style w:type="character" w:styleId="43">
    <w:name w:val="Footer Char"/>
    <w:basedOn w:val="464"/>
    <w:link w:val="483"/>
    <w:uiPriority w:val="99"/>
  </w:style>
  <w:style w:type="paragraph" w:styleId="44">
    <w:name w:val="Caption"/>
    <w:basedOn w:val="460"/>
    <w:next w:val="460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5">
    <w:name w:val="Caption Char"/>
    <w:basedOn w:val="44"/>
    <w:link w:val="483"/>
    <w:uiPriority w:val="99"/>
  </w:style>
  <w:style w:type="table" w:styleId="47">
    <w:name w:val="Table Grid Light"/>
    <w:basedOn w:val="465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465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465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46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46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46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fill="FFFFFF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fill="FFFFFF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3">
    <w:name w:val="Grid Table 1 Light"/>
    <w:basedOn w:val="4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4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4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4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4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4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4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4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1">
    <w:name w:val="Grid Table 2 - Accent 1"/>
    <w:basedOn w:val="4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2">
    <w:name w:val="Grid Table 2 - Accent 2"/>
    <w:basedOn w:val="4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3">
    <w:name w:val="Grid Table 2 - Accent 3"/>
    <w:basedOn w:val="4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4">
    <w:name w:val="Grid Table 2 - Accent 4"/>
    <w:basedOn w:val="4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5">
    <w:name w:val="Grid Table 2 - Accent 5"/>
    <w:basedOn w:val="4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6">
    <w:name w:val="Grid Table 2 - Accent 6"/>
    <w:basedOn w:val="4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7">
    <w:name w:val="Grid Table 3"/>
    <w:basedOn w:val="4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8">
    <w:name w:val="Grid Table 3 - Accent 1"/>
    <w:basedOn w:val="4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">
    <w:name w:val="Grid Table 3 - Accent 2"/>
    <w:basedOn w:val="4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">
    <w:name w:val="Grid Table 3 - Accent 3"/>
    <w:basedOn w:val="4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">
    <w:name w:val="Grid Table 3 - Accent 4"/>
    <w:basedOn w:val="4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">
    <w:name w:val="Grid Table 3 - Accent 5"/>
    <w:basedOn w:val="4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">
    <w:name w:val="Grid Table 3 - Accent 6"/>
    <w:basedOn w:val="4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">
    <w:name w:val="Grid Table 4"/>
    <w:basedOn w:val="46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5">
    <w:name w:val="Grid Table 4 - Accent 1"/>
    <w:basedOn w:val="46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6">
    <w:name w:val="Grid Table 4 - Accent 2"/>
    <w:basedOn w:val="46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7">
    <w:name w:val="Grid Table 4 - Accent 3"/>
    <w:basedOn w:val="46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8">
    <w:name w:val="Grid Table 4 - Accent 4"/>
    <w:basedOn w:val="46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9">
    <w:name w:val="Grid Table 4 - Accent 5"/>
    <w:basedOn w:val="46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0">
    <w:name w:val="Grid Table 4 - Accent 6"/>
    <w:basedOn w:val="46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1">
    <w:name w:val="Grid Table 5 Dark"/>
    <w:basedOn w:val="4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text1" w:themeFillTint="40"/>
    </w:tblPr>
    <w:tblStylePr w:type="band1Horz">
      <w:tcPr>
        <w:shd w:val="clear" w:fill="FFFFFF" w:color="FFFFFF" w:themeFill="text1" w:themeFillTint="75"/>
      </w:tcPr>
    </w:tblStylePr>
    <w:tblStylePr w:type="band1Vert">
      <w:tcPr>
        <w:shd w:val="clear" w:fill="FFFFFF" w:color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top w:val="single" w:color="000000" w:sz="4" w:space="0" w:themeColor="light1"/>
        </w:tcBorders>
      </w:tcPr>
    </w:tblStylePr>
  </w:style>
  <w:style w:type="table" w:styleId="82">
    <w:name w:val="Grid Table 5 Dark- Accent 1"/>
    <w:basedOn w:val="4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1" w:themeFillTint="34"/>
    </w:tblPr>
    <w:tblStylePr w:type="band1Horz">
      <w:tcPr>
        <w:shd w:val="clear" w:fill="FFFFFF" w:color="FFFFFF" w:themeFill="accent1" w:themeFillTint="75"/>
      </w:tcPr>
    </w:tblStylePr>
    <w:tblStylePr w:type="band1Vert">
      <w:tcPr>
        <w:shd w:val="clear" w:fill="FFFFFF" w:color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1"/>
        <w:tcBorders>
          <w:top w:val="single" w:color="000000" w:sz="4" w:space="0" w:themeColor="light1"/>
        </w:tcBorders>
      </w:tcPr>
    </w:tblStylePr>
  </w:style>
  <w:style w:type="table" w:styleId="83">
    <w:name w:val="Grid Table 5 Dark - Accent 2"/>
    <w:basedOn w:val="4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2" w:themeFillTint="32"/>
    </w:tblPr>
    <w:tblStylePr w:type="band1Horz">
      <w:tcPr>
        <w:shd w:val="clear" w:fill="FFFFFF" w:color="FFFFFF" w:themeFill="accent2" w:themeFillTint="75"/>
      </w:tcPr>
    </w:tblStylePr>
    <w:tblStylePr w:type="band1Vert">
      <w:tcPr>
        <w:shd w:val="clear" w:fill="FFFFFF" w:color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2"/>
        <w:tcBorders>
          <w:top w:val="single" w:color="000000" w:sz="4" w:space="0" w:themeColor="light1"/>
        </w:tcBorders>
      </w:tcPr>
    </w:tblStylePr>
  </w:style>
  <w:style w:type="table" w:styleId="84">
    <w:name w:val="Grid Table 5 Dark - Accent 3"/>
    <w:basedOn w:val="4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3" w:themeFillTint="34"/>
    </w:tblPr>
    <w:tblStylePr w:type="band1Horz">
      <w:tcPr>
        <w:shd w:val="clear" w:fill="FFFFFF" w:color="FFFFFF" w:themeFill="accent3" w:themeFillTint="75"/>
      </w:tcPr>
    </w:tblStylePr>
    <w:tblStylePr w:type="band1Vert">
      <w:tcPr>
        <w:shd w:val="clear" w:fill="FFFFFF" w:color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3"/>
        <w:tcBorders>
          <w:top w:val="single" w:color="000000" w:sz="4" w:space="0" w:themeColor="light1"/>
        </w:tcBorders>
      </w:tcPr>
    </w:tblStylePr>
  </w:style>
  <w:style w:type="table" w:styleId="85">
    <w:name w:val="Grid Table 5 Dark- Accent 4"/>
    <w:basedOn w:val="4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4" w:themeFillTint="34"/>
    </w:tblPr>
    <w:tblStylePr w:type="band1Horz">
      <w:tcPr>
        <w:shd w:val="clear" w:fill="FFFFFF" w:color="FFFFFF" w:themeFill="accent4" w:themeFillTint="75"/>
      </w:tcPr>
    </w:tblStylePr>
    <w:tblStylePr w:type="band1Vert">
      <w:tcPr>
        <w:shd w:val="clear" w:fill="FFFFFF" w:color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4"/>
        <w:tcBorders>
          <w:top w:val="single" w:color="000000" w:sz="4" w:space="0" w:themeColor="light1"/>
        </w:tcBorders>
      </w:tcPr>
    </w:tblStylePr>
  </w:style>
  <w:style w:type="table" w:styleId="86">
    <w:name w:val="Grid Table 5 Dark - Accent 5"/>
    <w:basedOn w:val="4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5" w:themeFillTint="34"/>
    </w:tblPr>
    <w:tblStylePr w:type="band1Horz">
      <w:tcPr>
        <w:shd w:val="clear" w:fill="FFFFFF" w:color="FFFFFF" w:themeFill="accent5" w:themeFillTint="75"/>
      </w:tcPr>
    </w:tblStylePr>
    <w:tblStylePr w:type="band1Vert">
      <w:tcPr>
        <w:shd w:val="clear" w:fill="FFFFFF" w:color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top w:val="single" w:color="000000" w:sz="4" w:space="0" w:themeColor="light1"/>
        </w:tcBorders>
      </w:tcPr>
    </w:tblStylePr>
  </w:style>
  <w:style w:type="table" w:styleId="87">
    <w:name w:val="Grid Table 5 Dark - Accent 6"/>
    <w:basedOn w:val="4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6" w:themeFillTint="34"/>
    </w:tblPr>
    <w:tblStylePr w:type="band1Horz">
      <w:tcPr>
        <w:shd w:val="clear" w:fill="FFFFFF" w:color="FFFFFF" w:themeFill="accent6" w:themeFillTint="75"/>
      </w:tcPr>
    </w:tblStylePr>
    <w:tblStylePr w:type="band1Vert">
      <w:tcPr>
        <w:shd w:val="clear" w:fill="FFFFFF" w:color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top w:val="single" w:color="000000" w:sz="4" w:space="0" w:themeColor="light1"/>
        </w:tcBorders>
      </w:tcPr>
    </w:tblStylePr>
  </w:style>
  <w:style w:type="table" w:styleId="88">
    <w:name w:val="Grid Table 6 Colorful"/>
    <w:basedOn w:val="4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fill="FFFFFF" w:color="FFFFFF" w:themeFill="text1" w:themeFillTint="34"/>
      </w:tcPr>
    </w:tblStylePr>
    <w:tblStylePr w:type="band1Vert">
      <w:tcPr>
        <w:shd w:val="clear" w:fill="FFFFFF" w:color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4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4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4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4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4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4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4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fill="FFFFFF"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</w:style>
  <w:style w:type="table" w:styleId="96">
    <w:name w:val="Grid Table 7 Colorful - Accent 1"/>
    <w:basedOn w:val="4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1" w:themeTint="80"/>
          <w:bottom w:val="none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fill="FFFFFF" w:color="FFFFFF"/>
        <w:tcBorders>
          <w:left w:val="single" w:color="000000" w:sz="4" w:space="0" w:themeColor="accen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1" w:themeTint="80"/>
          <w:right w:val="none"/>
          <w:bottom w:val="none"/>
        </w:tcBorders>
      </w:tcPr>
    </w:tblStylePr>
  </w:style>
  <w:style w:type="table" w:styleId="97">
    <w:name w:val="Grid Table 7 Colorful - Accent 2"/>
    <w:basedOn w:val="4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fill="FFFFFF"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</w:style>
  <w:style w:type="table" w:styleId="98">
    <w:name w:val="Grid Table 7 Colorful - Accent 3"/>
    <w:basedOn w:val="4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3" w:themeTint="FE"/>
          <w:bottom w:val="none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fill="FFFFFF" w:color="FFFFFF"/>
        <w:tcBorders>
          <w:left w:val="single" w:color="000000" w:sz="4" w:space="0" w:themeColor="accent3" w:themeTint="FE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3" w:themeTint="FE"/>
          <w:right w:val="none"/>
          <w:bottom w:val="none"/>
        </w:tcBorders>
      </w:tcPr>
    </w:tblStylePr>
  </w:style>
  <w:style w:type="table" w:styleId="99">
    <w:name w:val="Grid Table 7 Colorful - Accent 4"/>
    <w:basedOn w:val="4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fill="FFFFFF"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</w:style>
  <w:style w:type="table" w:styleId="100">
    <w:name w:val="Grid Table 7 Colorful - Accent 5"/>
    <w:basedOn w:val="4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5" w:themeTint="90"/>
          <w:bottom w:val="none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fill="FFFFFF" w:color="FFFFFF"/>
        <w:tcBorders>
          <w:left w:val="single" w:color="000000" w:sz="4" w:space="0" w:themeColor="accent5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5" w:themeTint="90"/>
          <w:right w:val="none"/>
          <w:bottom w:val="none"/>
        </w:tcBorders>
      </w:tcPr>
    </w:tblStylePr>
  </w:style>
  <w:style w:type="table" w:styleId="101">
    <w:name w:val="Grid Table 7 Colorful - Accent 6"/>
    <w:basedOn w:val="4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6" w:themeTint="90"/>
          <w:bottom w:val="none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fill="FFFFFF" w:color="FFFFFF"/>
        <w:tcBorders>
          <w:left w:val="single" w:color="000000" w:sz="4" w:space="0" w:themeColor="accent6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6" w:themeTint="90"/>
          <w:right w:val="none"/>
          <w:bottom w:val="none"/>
        </w:tcBorders>
      </w:tcPr>
    </w:tblStylePr>
  </w:style>
  <w:style w:type="table" w:styleId="102">
    <w:name w:val="List Table 1 Light"/>
    <w:basedOn w:val="46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103">
    <w:name w:val="List Table 1 Light - Accent 1"/>
    <w:basedOn w:val="46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104">
    <w:name w:val="List Table 1 Light - Accent 2"/>
    <w:basedOn w:val="46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105">
    <w:name w:val="List Table 1 Light - Accent 3"/>
    <w:basedOn w:val="46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106">
    <w:name w:val="List Table 1 Light - Accent 4"/>
    <w:basedOn w:val="46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107">
    <w:name w:val="List Table 1 Light - Accent 5"/>
    <w:basedOn w:val="46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108">
    <w:name w:val="List Table 1 Light - Accent 6"/>
    <w:basedOn w:val="46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109">
    <w:name w:val="List Table 2"/>
    <w:basedOn w:val="4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110">
    <w:name w:val="List Table 2 - Accent 1"/>
    <w:basedOn w:val="4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111">
    <w:name w:val="List Table 2 - Accent 2"/>
    <w:basedOn w:val="4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112">
    <w:name w:val="List Table 2 - Accent 3"/>
    <w:basedOn w:val="4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113">
    <w:name w:val="List Table 2 - Accent 4"/>
    <w:basedOn w:val="4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114">
    <w:name w:val="List Table 2 - Accent 5"/>
    <w:basedOn w:val="4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115">
    <w:name w:val="List Table 2 - Accent 6"/>
    <w:basedOn w:val="4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116">
    <w:name w:val="List Table 3"/>
    <w:basedOn w:val="4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4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4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4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4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4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4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4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4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4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4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4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4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4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4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fill="FFFFFF" w:color="FFFFFF" w:themeFill="text1" w:themeFillTint="80"/>
    </w:tblPr>
    <w:tblStylePr w:type="band1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4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fill="FFFFFF" w:color="FFFFFF" w:themeFill="accent1"/>
    </w:tblPr>
    <w:tblStylePr w:type="band1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4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fill="FFFFFF" w:color="FFFFFF" w:themeFill="accent2" w:themeFillTint="97"/>
    </w:tblPr>
    <w:tblStylePr w:type="band1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4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fill="FFFFFF" w:color="FFFFFF" w:themeFill="accent3" w:themeFillTint="98"/>
    </w:tblPr>
    <w:tblStylePr w:type="band1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4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fill="FFFFFF" w:color="FFFFFF" w:themeFill="accent4" w:themeFillTint="9A"/>
    </w:tblPr>
    <w:tblStylePr w:type="band1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4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fill="FFFFFF" w:color="FFFFFF" w:themeFill="accent5" w:themeFillTint="9A"/>
    </w:tblPr>
    <w:tblStylePr w:type="band1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4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fill="FFFFFF" w:color="FFFFFF" w:themeFill="accent6" w:themeFillTint="98"/>
    </w:tblPr>
    <w:tblStylePr w:type="band1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4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138">
    <w:name w:val="List Table 6 Colorful - Accent 1"/>
    <w:basedOn w:val="4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139">
    <w:name w:val="List Table 6 Colorful - Accent 2"/>
    <w:basedOn w:val="4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140">
    <w:name w:val="List Table 6 Colorful - Accent 3"/>
    <w:basedOn w:val="4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141">
    <w:name w:val="List Table 6 Colorful - Accent 4"/>
    <w:basedOn w:val="4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142">
    <w:name w:val="List Table 6 Colorful - Accent 5"/>
    <w:basedOn w:val="4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143">
    <w:name w:val="List Table 6 Colorful - Accent 6"/>
    <w:basedOn w:val="4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144">
    <w:name w:val="List Table 7 Colorful"/>
    <w:basedOn w:val="4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fill="FFFFFF"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4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1"/>
          <w:bottom w:val="none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fill="FFFFFF" w:color="FFFFFF"/>
        <w:tcBorders>
          <w:left w:val="single" w:color="000000" w:sz="4" w:space="0" w:themeColor="accent1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1"/>
          <w:right w:val="none"/>
          <w:bottom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6">
    <w:name w:val="List Table 7 Colorful - Accent 2"/>
    <w:basedOn w:val="4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fill="FFFFFF"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7">
    <w:name w:val="List Table 7 Colorful - Accent 3"/>
    <w:basedOn w:val="4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3" w:themeTint="98"/>
          <w:bottom w:val="none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fill="FFFFFF" w:color="FFFFFF"/>
        <w:tcBorders>
          <w:left w:val="single" w:color="000000" w:sz="4" w:space="0" w:themeColor="accent3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3" w:themeTint="98"/>
          <w:right w:val="none"/>
          <w:bottom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8">
    <w:name w:val="List Table 7 Colorful - Accent 4"/>
    <w:basedOn w:val="4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fill="FFFFFF"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49">
    <w:name w:val="List Table 7 Colorful - Accent 5"/>
    <w:basedOn w:val="4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5" w:themeTint="9A"/>
          <w:bottom w:val="none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fill="FFFFFF" w:color="FFFFFF"/>
        <w:tcBorders>
          <w:left w:val="single" w:color="000000" w:sz="4" w:space="0" w:themeColor="accent5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5" w:themeTint="9A"/>
          <w:right w:val="none"/>
          <w:bottom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0">
    <w:name w:val="List Table 7 Colorful - Accent 6"/>
    <w:basedOn w:val="4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6" w:themeTint="98"/>
          <w:bottom w:val="none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fill="FFFFFF" w:color="FFFFFF"/>
        <w:tcBorders>
          <w:left w:val="single" w:color="000000" w:sz="4" w:space="0" w:themeColor="accent6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6" w:themeTint="98"/>
          <w:right w:val="none"/>
          <w:bottom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1">
    <w:name w:val="Lined - Accent"/>
    <w:basedOn w:val="46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152">
    <w:name w:val="Lined - Accent 1"/>
    <w:basedOn w:val="46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153">
    <w:name w:val="Lined - Accent 2"/>
    <w:basedOn w:val="46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154">
    <w:name w:val="Lined - Accent 3"/>
    <w:basedOn w:val="46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155">
    <w:name w:val="Lined - Accent 4"/>
    <w:basedOn w:val="46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156">
    <w:name w:val="Lined - Accent 5"/>
    <w:basedOn w:val="46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157">
    <w:name w:val="Lined - Accent 6"/>
    <w:basedOn w:val="46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158">
    <w:name w:val="Bordered &amp; Lined - Accent"/>
    <w:basedOn w:val="46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159">
    <w:name w:val="Bordered &amp; Lined - Accent 1"/>
    <w:basedOn w:val="46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160">
    <w:name w:val="Bordered &amp; Lined - Accent 2"/>
    <w:basedOn w:val="46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161">
    <w:name w:val="Bordered &amp; Lined - Accent 3"/>
    <w:basedOn w:val="46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162">
    <w:name w:val="Bordered &amp; Lined - Accent 4"/>
    <w:basedOn w:val="46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163">
    <w:name w:val="Bordered &amp; Lined - Accent 5"/>
    <w:basedOn w:val="46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164">
    <w:name w:val="Bordered &amp; Lined - Accent 6"/>
    <w:basedOn w:val="46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165">
    <w:name w:val="Bordered"/>
    <w:basedOn w:val="4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166">
    <w:name w:val="Bordered - Accent 1"/>
    <w:basedOn w:val="4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167">
    <w:name w:val="Bordered - Accent 2"/>
    <w:basedOn w:val="4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168">
    <w:name w:val="Bordered - Accent 3"/>
    <w:basedOn w:val="4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169">
    <w:name w:val="Bordered - Accent 4"/>
    <w:basedOn w:val="4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170">
    <w:name w:val="Bordered - Accent 5"/>
    <w:basedOn w:val="4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171">
    <w:name w:val="Bordered - Accent 6"/>
    <w:basedOn w:val="4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174">
    <w:name w:val="Footnote Text Char"/>
    <w:link w:val="487"/>
    <w:uiPriority w:val="99"/>
    <w:rPr>
      <w:sz w:val="18"/>
    </w:rPr>
  </w:style>
  <w:style w:type="paragraph" w:styleId="176">
    <w:name w:val="endnote text"/>
    <w:basedOn w:val="460"/>
    <w:link w:val="177"/>
    <w:uiPriority w:val="99"/>
    <w:semiHidden/>
    <w:unhideWhenUsed/>
    <w:rPr>
      <w:sz w:val="20"/>
    </w:rPr>
    <w:pPr>
      <w:spacing w:lineRule="auto" w:line="240" w:after="0"/>
    </w:p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464"/>
    <w:uiPriority w:val="99"/>
    <w:semiHidden/>
    <w:unhideWhenUsed/>
    <w:rPr>
      <w:vertAlign w:val="superscript"/>
    </w:rPr>
  </w:style>
  <w:style w:type="paragraph" w:styleId="179">
    <w:name w:val="toc 1"/>
    <w:basedOn w:val="460"/>
    <w:next w:val="460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460"/>
    <w:next w:val="460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460"/>
    <w:next w:val="460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460"/>
    <w:next w:val="460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460"/>
    <w:next w:val="460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460"/>
    <w:next w:val="460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460"/>
    <w:next w:val="460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460"/>
    <w:next w:val="460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460"/>
    <w:next w:val="460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460" w:default="1">
    <w:name w:val="Normal"/>
    <w:qFormat/>
    <w:rPr>
      <w:rFonts w:ascii="Times New Roman" w:hAnsi="Times New Roman" w:cs="Times New Roman" w:eastAsia="Times New Roman"/>
      <w:sz w:val="24"/>
      <w:szCs w:val="24"/>
      <w:lang w:eastAsia="ar-SA"/>
    </w:rPr>
    <w:pPr>
      <w:spacing w:lineRule="auto" w:line="240" w:after="0"/>
    </w:pPr>
  </w:style>
  <w:style w:type="paragraph" w:styleId="461">
    <w:name w:val="Heading 1"/>
    <w:basedOn w:val="460"/>
    <w:link w:val="469"/>
    <w:qFormat/>
    <w:rPr>
      <w:b/>
      <w:bCs/>
      <w:sz w:val="48"/>
      <w:szCs w:val="48"/>
      <w:lang w:eastAsia="ru-RU"/>
    </w:rPr>
    <w:pPr>
      <w:spacing w:after="100" w:afterAutospacing="1" w:before="100" w:beforeAutospacing="1"/>
      <w:outlineLvl w:val="0"/>
    </w:pPr>
  </w:style>
  <w:style w:type="paragraph" w:styleId="462">
    <w:name w:val="Heading 2"/>
    <w:basedOn w:val="460"/>
    <w:next w:val="460"/>
    <w:link w:val="470"/>
    <w:qFormat/>
    <w:rPr>
      <w:rFonts w:ascii="Arial" w:hAnsi="Arial" w:cs="Arial"/>
      <w:b/>
      <w:bCs/>
      <w:i/>
      <w:iCs/>
      <w:sz w:val="28"/>
      <w:szCs w:val="28"/>
    </w:rPr>
    <w:pPr>
      <w:keepNext/>
      <w:spacing w:after="60" w:before="240"/>
      <w:outlineLvl w:val="1"/>
    </w:pPr>
  </w:style>
  <w:style w:type="paragraph" w:styleId="463">
    <w:name w:val="Heading 3"/>
    <w:basedOn w:val="460"/>
    <w:next w:val="460"/>
    <w:link w:val="471"/>
    <w:qFormat/>
    <w:rPr>
      <w:rFonts w:ascii="Cambria" w:hAnsi="Cambria"/>
      <w:b/>
      <w:bCs/>
      <w:sz w:val="26"/>
      <w:szCs w:val="26"/>
    </w:rPr>
    <w:pPr>
      <w:keepNext/>
      <w:spacing w:after="60" w:before="240"/>
      <w:outlineLvl w:val="2"/>
    </w:pPr>
  </w:style>
  <w:style w:type="character" w:styleId="464" w:default="1">
    <w:name w:val="Default Paragraph Font"/>
    <w:uiPriority w:val="1"/>
    <w:semiHidden/>
    <w:unhideWhenUsed/>
  </w:style>
  <w:style w:type="table" w:styleId="46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466" w:default="1">
    <w:name w:val="No List"/>
    <w:uiPriority w:val="99"/>
    <w:semiHidden/>
    <w:unhideWhenUsed/>
  </w:style>
  <w:style w:type="character" w:styleId="467">
    <w:name w:val="Hyperlink"/>
    <w:uiPriority w:val="99"/>
    <w:rPr>
      <w:color w:val="0000FF"/>
      <w:u w:val="single"/>
    </w:rPr>
  </w:style>
  <w:style w:type="paragraph" w:styleId="468" w:customStyle="1">
    <w:name w:val="ConsPlusNormal"/>
    <w:rPr>
      <w:rFonts w:ascii="Calibri" w:hAnsi="Calibri" w:cs="Calibri" w:eastAsia="Times New Roman"/>
      <w:sz w:val="20"/>
      <w:szCs w:val="20"/>
      <w:lang w:eastAsia="ru-RU"/>
    </w:rPr>
    <w:pPr>
      <w:spacing w:lineRule="auto" w:line="240" w:after="0"/>
      <w:widowControl w:val="off"/>
    </w:pPr>
  </w:style>
  <w:style w:type="character" w:styleId="469" w:customStyle="1">
    <w:name w:val="Заголовок 1 Знак"/>
    <w:basedOn w:val="464"/>
    <w:link w:val="461"/>
    <w:rPr>
      <w:rFonts w:ascii="Times New Roman" w:hAnsi="Times New Roman" w:cs="Times New Roman" w:eastAsia="Times New Roman"/>
      <w:b/>
      <w:bCs/>
      <w:sz w:val="48"/>
      <w:szCs w:val="48"/>
      <w:lang w:eastAsia="ru-RU"/>
    </w:rPr>
  </w:style>
  <w:style w:type="character" w:styleId="470" w:customStyle="1">
    <w:name w:val="Заголовок 2 Знак"/>
    <w:basedOn w:val="464"/>
    <w:link w:val="462"/>
    <w:rPr>
      <w:rFonts w:ascii="Arial" w:hAnsi="Arial" w:cs="Arial" w:eastAsia="Times New Roman"/>
      <w:b/>
      <w:bCs/>
      <w:i/>
      <w:iCs/>
      <w:sz w:val="28"/>
      <w:szCs w:val="28"/>
      <w:lang w:eastAsia="ar-SA"/>
    </w:rPr>
  </w:style>
  <w:style w:type="character" w:styleId="471" w:customStyle="1">
    <w:name w:val="Заголовок 3 Знак"/>
    <w:basedOn w:val="464"/>
    <w:link w:val="463"/>
    <w:rPr>
      <w:rFonts w:ascii="Cambria" w:hAnsi="Cambria" w:cs="Times New Roman" w:eastAsia="Times New Roman"/>
      <w:b/>
      <w:bCs/>
      <w:sz w:val="26"/>
      <w:szCs w:val="26"/>
      <w:lang w:eastAsia="ar-SA"/>
    </w:rPr>
  </w:style>
  <w:style w:type="paragraph" w:styleId="472">
    <w:name w:val="HTML Preformatted"/>
    <w:basedOn w:val="460"/>
    <w:link w:val="473"/>
    <w:rPr>
      <w:rFonts w:ascii="Courier New" w:hAnsi="Courier New" w:cs="Courier New"/>
      <w:sz w:val="20"/>
      <w:szCs w:val="20"/>
      <w:lang w:eastAsia="ru-RU"/>
    </w:rPr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</w:style>
  <w:style w:type="character" w:styleId="473" w:customStyle="1">
    <w:name w:val="Стандартный HTML Знак"/>
    <w:basedOn w:val="464"/>
    <w:link w:val="472"/>
    <w:rPr>
      <w:rFonts w:ascii="Courier New" w:hAnsi="Courier New" w:cs="Courier New" w:eastAsia="Times New Roman"/>
      <w:sz w:val="20"/>
      <w:szCs w:val="20"/>
      <w:lang w:eastAsia="ru-RU"/>
    </w:rPr>
  </w:style>
  <w:style w:type="paragraph" w:styleId="474">
    <w:name w:val="Balloon Text"/>
    <w:basedOn w:val="460"/>
    <w:link w:val="475"/>
    <w:semiHidden/>
    <w:rPr>
      <w:rFonts w:ascii="Tahoma" w:hAnsi="Tahoma" w:cs="Tahoma"/>
      <w:sz w:val="16"/>
      <w:szCs w:val="16"/>
    </w:rPr>
  </w:style>
  <w:style w:type="character" w:styleId="475" w:customStyle="1">
    <w:name w:val="Текст выноски Знак"/>
    <w:basedOn w:val="464"/>
    <w:link w:val="474"/>
    <w:semiHidden/>
    <w:rPr>
      <w:rFonts w:ascii="Tahoma" w:hAnsi="Tahoma" w:cs="Tahoma" w:eastAsia="Times New Roman"/>
      <w:sz w:val="16"/>
      <w:szCs w:val="16"/>
      <w:lang w:eastAsia="ar-SA"/>
    </w:rPr>
  </w:style>
  <w:style w:type="paragraph" w:styleId="476" w:customStyle="1">
    <w:name w:val="rteindent1"/>
    <w:basedOn w:val="460"/>
    <w:rPr>
      <w:lang w:eastAsia="ru-RU"/>
    </w:rPr>
    <w:pPr>
      <w:spacing w:after="100" w:afterAutospacing="1" w:before="100" w:beforeAutospacing="1"/>
    </w:pPr>
  </w:style>
  <w:style w:type="character" w:styleId="477">
    <w:name w:val="Strong"/>
    <w:qFormat/>
    <w:rPr>
      <w:b/>
      <w:bCs/>
    </w:rPr>
  </w:style>
  <w:style w:type="paragraph" w:styleId="478" w:customStyle="1">
    <w:name w:val="StGen0"/>
    <w:basedOn w:val="460"/>
    <w:next w:val="494"/>
    <w:rPr>
      <w:lang w:eastAsia="ru-RU"/>
    </w:rPr>
    <w:pPr>
      <w:spacing w:after="100" w:afterAutospacing="1" w:before="100" w:beforeAutospacing="1"/>
    </w:pPr>
  </w:style>
  <w:style w:type="paragraph" w:styleId="479" w:customStyle="1">
    <w:name w:val="qowt-stl-обычный"/>
    <w:basedOn w:val="460"/>
    <w:rPr>
      <w:lang w:eastAsia="ru-RU"/>
    </w:rPr>
    <w:pPr>
      <w:spacing w:after="100" w:afterAutospacing="1" w:before="100" w:beforeAutospacing="1"/>
    </w:pPr>
  </w:style>
  <w:style w:type="paragraph" w:styleId="480" w:customStyle="1">
    <w:name w:val="Char"/>
    <w:basedOn w:val="460"/>
    <w:rPr>
      <w:rFonts w:ascii="Arial" w:hAnsi="Arial" w:cs="Arial"/>
      <w:sz w:val="20"/>
      <w:szCs w:val="20"/>
      <w:lang w:val="fr-FR" w:eastAsia="en-US"/>
    </w:rPr>
    <w:pPr>
      <w:spacing w:lineRule="exact" w:line="240" w:after="160"/>
    </w:pPr>
  </w:style>
  <w:style w:type="paragraph" w:styleId="481">
    <w:name w:val="Header"/>
    <w:basedOn w:val="460"/>
    <w:link w:val="482"/>
    <w:pPr>
      <w:tabs>
        <w:tab w:val="center" w:pos="4677" w:leader="none"/>
        <w:tab w:val="right" w:pos="9355" w:leader="none"/>
      </w:tabs>
    </w:pPr>
  </w:style>
  <w:style w:type="character" w:styleId="482" w:customStyle="1">
    <w:name w:val="Верхний колонтитул Знак"/>
    <w:basedOn w:val="464"/>
    <w:link w:val="481"/>
    <w:rPr>
      <w:rFonts w:ascii="Times New Roman" w:hAnsi="Times New Roman" w:cs="Times New Roman" w:eastAsia="Times New Roman"/>
      <w:sz w:val="24"/>
      <w:szCs w:val="24"/>
      <w:lang w:eastAsia="ar-SA"/>
    </w:rPr>
  </w:style>
  <w:style w:type="paragraph" w:styleId="483">
    <w:name w:val="Footer"/>
    <w:basedOn w:val="460"/>
    <w:link w:val="484"/>
    <w:uiPriority w:val="99"/>
    <w:pPr>
      <w:tabs>
        <w:tab w:val="center" w:pos="4677" w:leader="none"/>
        <w:tab w:val="right" w:pos="9355" w:leader="none"/>
      </w:tabs>
    </w:pPr>
  </w:style>
  <w:style w:type="character" w:styleId="484" w:customStyle="1">
    <w:name w:val="Нижний колонтитул Знак"/>
    <w:basedOn w:val="464"/>
    <w:link w:val="483"/>
    <w:uiPriority w:val="99"/>
    <w:rPr>
      <w:rFonts w:ascii="Times New Roman" w:hAnsi="Times New Roman" w:cs="Times New Roman" w:eastAsia="Times New Roman"/>
      <w:sz w:val="24"/>
      <w:szCs w:val="24"/>
      <w:lang w:eastAsia="ar-SA"/>
    </w:rPr>
  </w:style>
  <w:style w:type="table" w:styleId="485">
    <w:name w:val="Table Grid"/>
    <w:basedOn w:val="465"/>
    <w:rPr>
      <w:rFonts w:ascii="Times New Roman" w:hAnsi="Times New Roman" w:cs="Times New Roman" w:eastAsia="Times New Roman"/>
      <w:sz w:val="20"/>
      <w:szCs w:val="20"/>
      <w:lang w:eastAsia="ru-RU"/>
    </w:rPr>
    <w:pPr>
      <w:spacing w:lineRule="auto" w:line="240" w:after="0"/>
    </w:pPr>
    <w:tblPr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</w:tblPr>
  </w:style>
  <w:style w:type="paragraph" w:styleId="486" w:customStyle="1">
    <w:name w:val="ConsPlusNonformat"/>
    <w:rPr>
      <w:rFonts w:ascii="Courier New" w:hAnsi="Courier New" w:cs="Courier New" w:eastAsia="Times New Roman"/>
      <w:sz w:val="20"/>
      <w:szCs w:val="20"/>
      <w:lang w:eastAsia="ru-RU"/>
    </w:rPr>
    <w:pPr>
      <w:spacing w:lineRule="auto" w:line="240" w:after="0"/>
      <w:widowControl w:val="off"/>
    </w:pPr>
  </w:style>
  <w:style w:type="paragraph" w:styleId="487">
    <w:name w:val="footnote text"/>
    <w:basedOn w:val="460"/>
    <w:link w:val="488"/>
    <w:rPr>
      <w:sz w:val="20"/>
      <w:szCs w:val="20"/>
    </w:rPr>
  </w:style>
  <w:style w:type="character" w:styleId="488" w:customStyle="1">
    <w:name w:val="Текст сноски Знак"/>
    <w:basedOn w:val="464"/>
    <w:link w:val="487"/>
    <w:rPr>
      <w:rFonts w:ascii="Times New Roman" w:hAnsi="Times New Roman" w:cs="Times New Roman" w:eastAsia="Times New Roman"/>
      <w:sz w:val="20"/>
      <w:szCs w:val="20"/>
      <w:lang w:eastAsia="ar-SA"/>
    </w:rPr>
  </w:style>
  <w:style w:type="character" w:styleId="489">
    <w:name w:val="footnote reference"/>
    <w:rPr>
      <w:vertAlign w:val="superscript"/>
    </w:rPr>
  </w:style>
  <w:style w:type="paragraph" w:styleId="490">
    <w:name w:val="List Paragraph"/>
    <w:basedOn w:val="460"/>
    <w:qFormat/>
    <w:uiPriority w:val="34"/>
    <w:rPr>
      <w:lang w:eastAsia="ru-RU"/>
    </w:rPr>
    <w:pPr>
      <w:contextualSpacing w:val="true"/>
      <w:ind w:left="720"/>
    </w:pPr>
  </w:style>
  <w:style w:type="paragraph" w:styleId="491">
    <w:name w:val="Body Text Indent"/>
    <w:basedOn w:val="460"/>
    <w:link w:val="492"/>
    <w:uiPriority w:val="99"/>
    <w:rPr>
      <w:sz w:val="20"/>
      <w:szCs w:val="20"/>
    </w:rPr>
    <w:pPr>
      <w:jc w:val="both"/>
    </w:pPr>
  </w:style>
  <w:style w:type="character" w:styleId="492" w:customStyle="1">
    <w:name w:val="Основной текст с отступом Знак"/>
    <w:basedOn w:val="464"/>
    <w:link w:val="491"/>
    <w:uiPriority w:val="99"/>
    <w:rPr>
      <w:rFonts w:ascii="Times New Roman" w:hAnsi="Times New Roman" w:cs="Times New Roman" w:eastAsia="Times New Roman"/>
      <w:sz w:val="24"/>
      <w:szCs w:val="20"/>
    </w:rPr>
  </w:style>
  <w:style w:type="character" w:styleId="493">
    <w:name w:val="FollowedHyperlink"/>
    <w:uiPriority w:val="99"/>
    <w:unhideWhenUsed/>
    <w:rPr>
      <w:color w:val="800080"/>
      <w:u w:val="single"/>
    </w:rPr>
  </w:style>
  <w:style w:type="paragraph" w:styleId="494">
    <w:name w:val="Normal (Web)"/>
    <w:basedOn w:val="460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Р7-Офис/6.1.0.68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revision>25</cp:revision>
  <dcterms:created xsi:type="dcterms:W3CDTF">2026-04-13T09:20:00Z</dcterms:created>
  <dcterms:modified xsi:type="dcterms:W3CDTF">2026-07-31T07:32:10Z</dcterms:modified>
</cp:coreProperties>
</file>