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0"/>
          <w:lang w:eastAsia="ru-RU"/>
        </w:rPr>
      </w:pPr>
      <w:r>
        <w:rPr>
          <w:b/>
          <w:sz w:val="28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2560320</wp:posOffset>
                </wp:positionH>
                <wp:positionV relativeFrom="paragraph">
                  <wp:posOffset>-622935</wp:posOffset>
                </wp:positionV>
                <wp:extent cx="720090" cy="955675"/>
                <wp:effectExtent l="0" t="0" r="3810" b="0"/>
                <wp:wrapSquare wrapText="bothSides"/>
                <wp:docPr id="1" name="Рисунок 1" descr="Герб ППО (вектор) черная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2" descr="Герб ППО (вектор) черная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72009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9264;o:allowoverlap:true;o:allowincell:true;mso-position-horizontal-relative:margin;margin-left:201.6pt;mso-position-horizontal:absolute;mso-position-vertical-relative:text;margin-top:-49.0pt;mso-position-vertical:absolute;width:56.7pt;height:75.3pt;">
                <v:path textboxrect="0,0,0,0"/>
                <v:imagedata r:id="rId9" o:title=""/>
              </v:shape>
            </w:pict>
          </mc:Fallback>
        </mc:AlternateContent>
      </w:r>
      <w:r/>
    </w:p>
    <w:tbl>
      <w:tblPr>
        <w:tblW w:w="1018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0"/>
      </w:tblGrid>
      <w:tr>
        <w:trPr>
          <w:jc w:val="center"/>
          <w:trHeight w:val="250" w:hRule="exact"/>
        </w:trPr>
        <w:tc>
          <w:tcPr>
            <w:tcW w:w="1018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</w:r>
            <w:r/>
          </w:p>
        </w:tc>
      </w:tr>
      <w:tr>
        <w:trPr>
          <w:jc w:val="center"/>
          <w:trHeight w:val="408"/>
        </w:trPr>
        <w:tc>
          <w:tcPr>
            <w:tcW w:w="10180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МИНИСТЕРСТВО </w:t>
            </w:r>
            <w:r>
              <w:rPr>
                <w:b/>
                <w:sz w:val="28"/>
                <w:szCs w:val="28"/>
              </w:rPr>
              <w:t xml:space="preserve">ПО ТАРИФНОМУ РЕГУЛИРОВАНИЮ</w:t>
            </w:r>
            <w:r>
              <w:rPr>
                <w:b/>
                <w:sz w:val="28"/>
                <w:szCs w:val="28"/>
              </w:rPr>
              <w:t xml:space="preserve"> </w:t>
            </w:r>
            <w:r/>
          </w:p>
          <w:p>
            <w:pPr>
              <w:jc w:val="center"/>
              <w:rPr>
                <w:b/>
                <w:sz w:val="36"/>
                <w:szCs w:val="20"/>
                <w:lang w:eastAsia="ru-RU"/>
              </w:rPr>
            </w:pPr>
            <w:r>
              <w:rPr>
                <w:b/>
                <w:sz w:val="28"/>
                <w:szCs w:val="28"/>
              </w:rPr>
              <w:t xml:space="preserve">И</w:t>
            </w:r>
            <w:r>
              <w:rPr>
                <w:b/>
                <w:sz w:val="28"/>
                <w:szCs w:val="20"/>
                <w:lang w:eastAsia="ru-RU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ГОСУДАРСТВЕННЫМ ЗАКУПКАМ</w:t>
            </w:r>
            <w:r>
              <w:rPr>
                <w:b/>
                <w:sz w:val="28"/>
                <w:szCs w:val="20"/>
                <w:lang w:eastAsia="ru-RU"/>
              </w:rPr>
              <w:t xml:space="preserve"> ПЕНЗЕНСКОЙ ОБЛАСТИ</w:t>
            </w:r>
            <w:r/>
          </w:p>
        </w:tc>
      </w:tr>
      <w:tr>
        <w:trPr>
          <w:jc w:val="center"/>
          <w:trHeight w:val="250" w:hRule="exact"/>
        </w:trPr>
        <w:tc>
          <w:tcPr>
            <w:tcW w:w="10180" w:type="dxa"/>
            <w:textDirection w:val="lrTb"/>
            <w:noWrap w:val="false"/>
          </w:tcPr>
          <w:p>
            <w:pPr>
              <w:jc w:val="center"/>
              <w:spacing w:after="120" w:before="12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  <w:r/>
          </w:p>
        </w:tc>
      </w:tr>
      <w:tr>
        <w:trPr>
          <w:jc w:val="center"/>
          <w:trHeight w:val="375"/>
        </w:trPr>
        <w:tc>
          <w:tcPr>
            <w:tcW w:w="10180" w:type="dxa"/>
            <w:textDirection w:val="lrTb"/>
            <w:noWrap w:val="false"/>
          </w:tcPr>
          <w:p>
            <w:pPr>
              <w:jc w:val="center"/>
              <w:keepNext/>
              <w:spacing w:after="240" w:before="120"/>
              <w:rPr>
                <w:b/>
                <w:sz w:val="32"/>
                <w:szCs w:val="32"/>
                <w:lang w:eastAsia="ru-RU"/>
              </w:rPr>
              <w:outlineLvl w:val="2"/>
            </w:pPr>
            <w:r>
              <w:rPr>
                <w:b/>
                <w:sz w:val="32"/>
                <w:szCs w:val="32"/>
                <w:lang w:eastAsia="ru-RU"/>
              </w:rPr>
              <w:t xml:space="preserve">П Р И К А З</w:t>
            </w:r>
            <w:r>
              <w:rPr>
                <w:b/>
                <w:sz w:val="32"/>
                <w:szCs w:val="32"/>
                <w:lang w:eastAsia="ru-RU"/>
              </w:rPr>
              <w:t xml:space="preserve"> </w:t>
            </w:r>
            <w:r/>
          </w:p>
        </w:tc>
      </w:tr>
      <w:tr>
        <w:trPr>
          <w:jc w:val="center"/>
          <w:trHeight w:val="50" w:hRule="exact"/>
        </w:trPr>
        <w:tc>
          <w:tcPr>
            <w:tcW w:w="10180" w:type="dxa"/>
            <w:vAlign w:val="center"/>
            <w:textDirection w:val="lrTb"/>
            <w:noWrap w:val="false"/>
          </w:tcPr>
          <w:p>
            <w:pPr>
              <w:jc w:val="center"/>
              <w:keepNext/>
              <w:rPr>
                <w:b/>
                <w:sz w:val="40"/>
                <w:szCs w:val="20"/>
                <w:lang w:eastAsia="ru-RU"/>
              </w:rPr>
              <w:outlineLvl w:val="2"/>
            </w:pPr>
            <w:r>
              <w:rPr>
                <w:b/>
                <w:sz w:val="40"/>
                <w:szCs w:val="20"/>
                <w:lang w:eastAsia="ru-RU"/>
              </w:rPr>
            </w:r>
            <w:r/>
          </w:p>
        </w:tc>
      </w:tr>
    </w:tbl>
    <w:p>
      <w:pPr>
        <w:rPr>
          <w:vanish/>
          <w:sz w:val="4"/>
          <w:szCs w:val="4"/>
        </w:rPr>
      </w:pPr>
      <w:r>
        <w:rPr>
          <w:vanish/>
          <w:sz w:val="4"/>
          <w:szCs w:val="4"/>
        </w:rPr>
      </w:r>
      <w:r/>
    </w:p>
    <w:tbl>
      <w:tblPr>
        <w:tblpPr w:horzAnchor="margin" w:tblpXSpec="center" w:vertAnchor="text" w:tblpY="66" w:leftFromText="180" w:topFromText="0" w:rightFromText="180" w:bottomFromText="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397"/>
        <w:gridCol w:w="1304"/>
      </w:tblGrid>
      <w:tr>
        <w:trPr/>
        <w:tc>
          <w:tcPr>
            <w:tcW w:w="42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 xml:space="preserve">от</w:t>
            </w:r>
            <w:r/>
          </w:p>
        </w:tc>
        <w:tc>
          <w:tcPr>
            <w:tcBorders>
              <w:bottom w:val="single" w:sz="6" w:space="0" w:color="auto"/>
            </w:tcBorders>
            <w:tcW w:w="2835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22</w:t>
            </w:r>
            <w:r>
              <w:rPr>
                <w:sz w:val="26"/>
                <w:szCs w:val="26"/>
                <w:lang w:eastAsia="ru-RU"/>
              </w:rPr>
              <w:t xml:space="preserve">.0</w:t>
            </w:r>
            <w:r>
              <w:rPr>
                <w:sz w:val="26"/>
                <w:szCs w:val="26"/>
                <w:lang w:eastAsia="ru-RU"/>
              </w:rPr>
              <w:t xml:space="preserve">7</w:t>
            </w:r>
            <w:r>
              <w:rPr>
                <w:sz w:val="26"/>
                <w:szCs w:val="26"/>
                <w:lang w:eastAsia="ru-RU"/>
              </w:rPr>
              <w:t xml:space="preserve">.2026</w:t>
            </w:r>
            <w:r/>
          </w:p>
        </w:tc>
        <w:tc>
          <w:tcPr>
            <w:tcW w:w="397" w:type="dxa"/>
            <w:textDirection w:val="lrTb"/>
            <w:noWrap w:val="false"/>
          </w:tcPr>
          <w:p>
            <w:pPr>
              <w:jc w:val="center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 xml:space="preserve">№</w:t>
            </w:r>
            <w:r/>
          </w:p>
        </w:tc>
        <w:tc>
          <w:tcPr>
            <w:tcBorders>
              <w:bottom w:val="single" w:sz="6" w:space="0" w:color="auto"/>
            </w:tcBorders>
            <w:tcW w:w="1304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82</w:t>
            </w:r>
            <w:bookmarkStart w:id="0" w:name="_GoBack"/>
            <w:r/>
            <w:bookmarkEnd w:id="0"/>
            <w:r>
              <w:rPr>
                <w:sz w:val="26"/>
                <w:szCs w:val="26"/>
                <w:lang w:eastAsia="ru-RU"/>
              </w:rPr>
              <w:t xml:space="preserve">-п</w:t>
            </w:r>
            <w:r/>
          </w:p>
        </w:tc>
      </w:tr>
      <w:tr>
        <w:trPr/>
        <w:tc>
          <w:tcPr>
            <w:gridSpan w:val="4"/>
            <w:tcW w:w="4962" w:type="dxa"/>
            <w:textDirection w:val="lrTb"/>
            <w:noWrap w:val="false"/>
          </w:tcPr>
          <w:p>
            <w:pPr>
              <w:jc w:val="center"/>
              <w:rPr>
                <w:sz w:val="4"/>
                <w:szCs w:val="4"/>
                <w:lang w:eastAsia="ru-RU"/>
              </w:rPr>
            </w:pPr>
            <w:r>
              <w:rPr>
                <w:sz w:val="4"/>
                <w:szCs w:val="4"/>
                <w:lang w:eastAsia="ru-RU"/>
              </w:rPr>
            </w:r>
            <w:r/>
          </w:p>
          <w:p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г. Пенза</w:t>
            </w:r>
            <w:r/>
          </w:p>
        </w:tc>
      </w:tr>
    </w:tbl>
    <w:p>
      <w:pPr>
        <w:jc w:val="center"/>
        <w:rPr>
          <w:lang w:eastAsia="ru-RU"/>
        </w:rPr>
      </w:pPr>
      <w:r>
        <w:rPr>
          <w:lang w:eastAsia="ru-RU"/>
        </w:rPr>
      </w:r>
      <w:r/>
    </w:p>
    <w:p>
      <w:pPr>
        <w:jc w:val="center"/>
        <w:rPr>
          <w:lang w:eastAsia="ru-RU"/>
        </w:rPr>
      </w:pPr>
      <w:r>
        <w:rPr>
          <w:lang w:eastAsia="ru-RU"/>
        </w:rPr>
      </w:r>
      <w:r/>
    </w:p>
    <w:p>
      <w:pPr>
        <w:jc w:val="center"/>
        <w:keepNext/>
        <w:rPr>
          <w:lang w:eastAsia="ru-RU"/>
        </w:rPr>
        <w:outlineLvl w:val="2"/>
      </w:pPr>
      <w:r>
        <w:rPr>
          <w:lang w:eastAsia="ru-RU"/>
        </w:rPr>
      </w:r>
      <w:r/>
    </w:p>
    <w:p>
      <w:pPr>
        <w:ind w:left="34" w:right="-6"/>
        <w:jc w:val="center"/>
        <w:keepNext/>
        <w:rPr>
          <w:b/>
          <w:sz w:val="28"/>
          <w:szCs w:val="28"/>
          <w:lang w:eastAsia="ru-RU"/>
        </w:rPr>
        <w:outlineLvl w:val="2"/>
      </w:pPr>
      <w:r>
        <w:rPr>
          <w:b/>
          <w:sz w:val="28"/>
          <w:szCs w:val="28"/>
          <w:lang w:eastAsia="ru-RU"/>
        </w:rPr>
      </w:r>
      <w:r/>
    </w:p>
    <w:p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Об утверждении размера экономически обоснованных расходов</w:t>
      </w:r>
      <w:r/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7"/>
          <w:szCs w:val="27"/>
        </w:rPr>
        <w:t xml:space="preserve">З</w:t>
      </w:r>
      <w:r>
        <w:rPr>
          <w:b/>
          <w:bCs/>
          <w:sz w:val="27"/>
          <w:szCs w:val="27"/>
        </w:rPr>
        <w:t xml:space="preserve">АО «</w:t>
      </w:r>
      <w:r>
        <w:rPr>
          <w:b/>
          <w:bCs/>
          <w:sz w:val="27"/>
          <w:szCs w:val="27"/>
        </w:rPr>
        <w:t xml:space="preserve">Городище</w:t>
      </w:r>
      <w:r>
        <w:rPr>
          <w:b/>
          <w:bCs/>
          <w:sz w:val="27"/>
          <w:szCs w:val="27"/>
        </w:rPr>
        <w:t xml:space="preserve">райгаз</w:t>
      </w:r>
      <w:r>
        <w:rPr>
          <w:b/>
          <w:bCs/>
          <w:sz w:val="27"/>
          <w:szCs w:val="27"/>
        </w:rPr>
        <w:t xml:space="preserve">» на выполнение мероприятий по подключению (технологическому присоединению) газоиспользующего оборудования к газораспределительным сетям в рамках </w:t>
      </w:r>
      <w:r>
        <w:rPr>
          <w:b/>
          <w:bCs/>
          <w:sz w:val="27"/>
          <w:szCs w:val="27"/>
        </w:rPr>
        <w:t xml:space="preserve">догазификации</w:t>
      </w:r>
      <w:r>
        <w:rPr>
          <w:b/>
          <w:bCs/>
          <w:sz w:val="27"/>
          <w:szCs w:val="27"/>
        </w:rPr>
        <w:t xml:space="preserve"> и в рамках </w:t>
      </w:r>
      <w:r>
        <w:rPr>
          <w:b/>
          <w:bCs/>
          <w:sz w:val="27"/>
          <w:szCs w:val="27"/>
        </w:rPr>
        <w:t xml:space="preserve">догазификации</w:t>
      </w:r>
      <w:r>
        <w:rPr>
          <w:b/>
          <w:bCs/>
          <w:sz w:val="27"/>
          <w:szCs w:val="27"/>
        </w:rPr>
        <w:t xml:space="preserve"> котельных за </w:t>
      </w:r>
      <w:r>
        <w:rPr>
          <w:b/>
          <w:bCs/>
          <w:sz w:val="27"/>
          <w:szCs w:val="27"/>
        </w:rPr>
        <w:t xml:space="preserve">2</w:t>
      </w:r>
      <w:r>
        <w:rPr>
          <w:b/>
          <w:bCs/>
          <w:sz w:val="27"/>
          <w:szCs w:val="27"/>
        </w:rPr>
        <w:t xml:space="preserve"> квартал 202</w:t>
      </w:r>
      <w:r>
        <w:rPr>
          <w:b/>
          <w:bCs/>
          <w:sz w:val="27"/>
          <w:szCs w:val="27"/>
        </w:rPr>
        <w:t xml:space="preserve">6</w:t>
      </w:r>
      <w:r>
        <w:rPr>
          <w:b/>
          <w:bCs/>
          <w:sz w:val="27"/>
          <w:szCs w:val="27"/>
        </w:rPr>
        <w:t xml:space="preserve"> года</w:t>
      </w:r>
      <w:r/>
    </w:p>
    <w:p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</w:r>
      <w:r/>
    </w:p>
    <w:p>
      <w:pPr>
        <w:ind w:firstLine="709"/>
        <w:jc w:val="both"/>
        <w:tabs>
          <w:tab w:val="left" w:pos="993" w:leader="none"/>
        </w:tabs>
        <w:rPr>
          <w:b/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 xml:space="preserve">В соответствии с Федеральным законом от 31.03.1999 № 69-ФЗ «О газоснабжении в Российской Федерации» (с последующими изменениями),  постановлением Правительства РФ о</w:t>
      </w:r>
      <w:r>
        <w:rPr>
          <w:sz w:val="27"/>
          <w:szCs w:val="27"/>
          <w:lang w:eastAsia="ru-RU"/>
        </w:rPr>
        <w:t xml:space="preserve">т 13.09.2021 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территорий, газотранспортных о</w:t>
      </w:r>
      <w:r>
        <w:rPr>
          <w:sz w:val="27"/>
          <w:szCs w:val="27"/>
          <w:lang w:eastAsia="ru-RU"/>
        </w:rPr>
        <w:t xml:space="preserve">рганизаций, а также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промы</w:t>
      </w:r>
      <w:r>
        <w:rPr>
          <w:sz w:val="27"/>
          <w:szCs w:val="27"/>
          <w:lang w:eastAsia="ru-RU"/>
        </w:rPr>
        <w:t xml:space="preserve">шленных и иных организаций» (с последующими изменениями), приказом ФАС России от 08.10.2024 № 702/24 «Об утверждении формы исполнительного органа субъекта Российской Федерации в области государственного регулирования цен (тарифов) или иного уполномоченного</w:t>
      </w:r>
      <w:r>
        <w:rPr>
          <w:sz w:val="27"/>
          <w:szCs w:val="27"/>
          <w:lang w:eastAsia="ru-RU"/>
        </w:rPr>
        <w:t xml:space="preserve"> исполнительного органа субъекта Российской Федерации об утверждении размера экономически обоснованных расходов на выполнение мероприятий по подключению (технологическому присоединению) газоиспользующего оборудования к газораспределительным сетям в рамках </w:t>
      </w:r>
      <w:r>
        <w:rPr>
          <w:sz w:val="27"/>
          <w:szCs w:val="27"/>
          <w:lang w:eastAsia="ru-RU"/>
        </w:rPr>
        <w:t xml:space="preserve">догазификации</w:t>
      </w:r>
      <w:r>
        <w:rPr>
          <w:sz w:val="27"/>
          <w:szCs w:val="27"/>
          <w:lang w:eastAsia="ru-RU"/>
        </w:rPr>
        <w:t xml:space="preserve"> и в рамках </w:t>
      </w:r>
      <w:r>
        <w:rPr>
          <w:sz w:val="27"/>
          <w:szCs w:val="27"/>
          <w:lang w:eastAsia="ru-RU"/>
        </w:rPr>
        <w:t xml:space="preserve">догазификации</w:t>
      </w:r>
      <w:r>
        <w:rPr>
          <w:sz w:val="27"/>
          <w:szCs w:val="27"/>
          <w:lang w:eastAsia="ru-RU"/>
        </w:rPr>
        <w:t xml:space="preserve"> котельных», руководствуясь Положением о Министерстве по тарифному регулированию и государственным закупкам Пензенской области, утвержденным постановлением </w:t>
      </w:r>
      <w:r>
        <w:rPr>
          <w:sz w:val="27"/>
          <w:szCs w:val="27"/>
          <w:lang w:eastAsia="ru-RU"/>
        </w:rPr>
        <w:t xml:space="preserve">Правительства Пензенской области от 17.02.2026 № 111-пП (с последующими изменениями), </w:t>
      </w:r>
      <w:r>
        <w:rPr>
          <w:b/>
          <w:sz w:val="27"/>
          <w:szCs w:val="27"/>
          <w:lang w:eastAsia="ru-RU"/>
        </w:rPr>
        <w:t xml:space="preserve">п р и к а з ы в а ю:</w:t>
      </w:r>
      <w:r/>
    </w:p>
    <w:p>
      <w:pPr>
        <w:numPr>
          <w:ilvl w:val="0"/>
          <w:numId w:val="4"/>
        </w:numPr>
        <w:ind w:left="0" w:firstLine="709"/>
        <w:jc w:val="both"/>
        <w:shd w:val="clear" w:fill="FFFFFF" w:color="FFFFFF"/>
        <w:widowControl w:val="off"/>
        <w:tabs>
          <w:tab w:val="left" w:pos="993" w:leader="none"/>
        </w:tabs>
        <w:rPr>
          <w:spacing w:val="-3"/>
          <w:sz w:val="27"/>
          <w:szCs w:val="27"/>
        </w:rPr>
      </w:pPr>
      <w:r/>
      <w:bookmarkStart w:id="1" w:name="_Hlk92978102"/>
      <w:r>
        <w:rPr>
          <w:spacing w:val="-3"/>
          <w:sz w:val="27"/>
          <w:szCs w:val="27"/>
        </w:rPr>
        <w:t xml:space="preserve">Утвердить</w:t>
      </w:r>
      <w:bookmarkEnd w:id="1"/>
      <w:r>
        <w:rPr>
          <w:spacing w:val="-3"/>
          <w:sz w:val="27"/>
          <w:szCs w:val="27"/>
        </w:rPr>
        <w:t xml:space="preserve"> экономически обоснованные расходы ЗАО «</w:t>
      </w:r>
      <w:r>
        <w:rPr>
          <w:spacing w:val="-3"/>
          <w:sz w:val="27"/>
          <w:szCs w:val="27"/>
        </w:rPr>
        <w:t xml:space="preserve">Городищерайгаз</w:t>
      </w:r>
      <w:r>
        <w:rPr>
          <w:spacing w:val="-3"/>
          <w:sz w:val="27"/>
          <w:szCs w:val="27"/>
        </w:rPr>
        <w:t xml:space="preserve">» на выполнение мероприятий по подключению (технологическому присоединению) газоиспользующего оборудования к газораспределительным сетям</w:t>
      </w:r>
      <w:r>
        <w:rPr>
          <w:spacing w:val="-3"/>
          <w:sz w:val="27"/>
          <w:szCs w:val="27"/>
        </w:rPr>
        <w:t xml:space="preserve"> в рамках </w:t>
      </w:r>
      <w:r>
        <w:rPr>
          <w:spacing w:val="-3"/>
          <w:sz w:val="27"/>
          <w:szCs w:val="27"/>
        </w:rPr>
        <w:t xml:space="preserve">догазификации</w:t>
      </w:r>
      <w:r>
        <w:rPr>
          <w:spacing w:val="-3"/>
          <w:sz w:val="27"/>
          <w:szCs w:val="27"/>
        </w:rPr>
        <w:t xml:space="preserve"> и в рамках </w:t>
      </w:r>
      <w:r>
        <w:rPr>
          <w:spacing w:val="-3"/>
          <w:sz w:val="27"/>
          <w:szCs w:val="27"/>
        </w:rPr>
        <w:t xml:space="preserve">догазификации</w:t>
      </w:r>
      <w:r>
        <w:rPr>
          <w:spacing w:val="-3"/>
          <w:sz w:val="27"/>
          <w:szCs w:val="27"/>
        </w:rPr>
        <w:t xml:space="preserve"> котельных за </w:t>
      </w:r>
      <w:r>
        <w:rPr>
          <w:spacing w:val="-3"/>
          <w:sz w:val="27"/>
          <w:szCs w:val="27"/>
        </w:rPr>
        <w:t xml:space="preserve">2</w:t>
      </w:r>
      <w:r>
        <w:rPr>
          <w:spacing w:val="-3"/>
          <w:sz w:val="27"/>
          <w:szCs w:val="27"/>
        </w:rPr>
        <w:t xml:space="preserve"> квартал </w:t>
      </w:r>
      <w:r>
        <w:rPr>
          <w:spacing w:val="-3"/>
          <w:sz w:val="27"/>
          <w:szCs w:val="27"/>
        </w:rPr>
        <w:t xml:space="preserve">2026 года в размере </w:t>
      </w:r>
      <w:r>
        <w:rPr>
          <w:bCs/>
          <w:iCs/>
          <w:spacing w:val="-3"/>
          <w:sz w:val="27"/>
          <w:szCs w:val="27"/>
        </w:rPr>
        <w:t xml:space="preserve">1 772 602,66</w:t>
      </w:r>
      <w:r>
        <w:rPr>
          <w:bCs/>
          <w:iCs/>
          <w:spacing w:val="-3"/>
          <w:sz w:val="27"/>
          <w:szCs w:val="27"/>
        </w:rPr>
        <w:t xml:space="preserve"> </w:t>
      </w:r>
      <w:r>
        <w:rPr>
          <w:spacing w:val="-3"/>
          <w:sz w:val="27"/>
          <w:szCs w:val="27"/>
        </w:rPr>
        <w:t xml:space="preserve">руб. (</w:t>
      </w:r>
      <w:r>
        <w:rPr>
          <w:spacing w:val="-3"/>
          <w:sz w:val="27"/>
          <w:szCs w:val="27"/>
        </w:rPr>
        <w:t xml:space="preserve">кроме того, НДС в размере 14 547,68 руб.</w:t>
      </w:r>
      <w:r>
        <w:rPr>
          <w:spacing w:val="-3"/>
          <w:sz w:val="27"/>
          <w:szCs w:val="27"/>
        </w:rPr>
        <w:t xml:space="preserve">) </w:t>
      </w:r>
      <w:r>
        <w:rPr>
          <w:spacing w:val="-3"/>
          <w:sz w:val="27"/>
          <w:szCs w:val="27"/>
        </w:rPr>
        <w:t xml:space="preserve">согласно </w:t>
      </w:r>
      <w:r>
        <w:rPr>
          <w:spacing w:val="-3"/>
          <w:sz w:val="27"/>
          <w:szCs w:val="27"/>
        </w:rPr>
        <w:t xml:space="preserve">приложению</w:t>
      </w:r>
      <w:r>
        <w:rPr>
          <w:spacing w:val="-3"/>
          <w:sz w:val="27"/>
          <w:szCs w:val="27"/>
        </w:rPr>
        <w:t xml:space="preserve"> к настоящему приказу</w:t>
      </w:r>
      <w:r>
        <w:rPr>
          <w:spacing w:val="-3"/>
          <w:sz w:val="27"/>
          <w:szCs w:val="27"/>
        </w:rPr>
        <w:t xml:space="preserve">, в том числе</w:t>
      </w:r>
      <w:r>
        <w:rPr>
          <w:spacing w:val="-3"/>
          <w:sz w:val="27"/>
          <w:szCs w:val="27"/>
        </w:rPr>
        <w:t xml:space="preserve">:</w:t>
      </w:r>
      <w:r/>
    </w:p>
    <w:p>
      <w:pPr>
        <w:ind w:firstLine="709"/>
        <w:jc w:val="both"/>
        <w:shd w:val="clear" w:fill="FFFFFF" w:color="FFFFFF"/>
        <w:widowControl w:val="off"/>
        <w:tabs>
          <w:tab w:val="left" w:pos="993" w:leader="none"/>
        </w:tabs>
        <w:rPr>
          <w:spacing w:val="-3"/>
          <w:sz w:val="27"/>
          <w:szCs w:val="27"/>
        </w:rPr>
      </w:pPr>
      <w:r>
        <w:rPr>
          <w:spacing w:val="-3"/>
          <w:sz w:val="27"/>
          <w:szCs w:val="27"/>
        </w:rPr>
        <w:t xml:space="preserve">- </w:t>
      </w:r>
      <w:r>
        <w:rPr>
          <w:spacing w:val="-3"/>
          <w:sz w:val="27"/>
          <w:szCs w:val="27"/>
        </w:rPr>
        <w:t xml:space="preserve">за счет средств</w:t>
      </w:r>
      <w:r>
        <w:rPr>
          <w:spacing w:val="-3"/>
          <w:sz w:val="27"/>
          <w:szCs w:val="27"/>
        </w:rPr>
        <w:t xml:space="preserve"> </w:t>
      </w:r>
      <w:r>
        <w:rPr>
          <w:spacing w:val="-3"/>
          <w:sz w:val="27"/>
          <w:szCs w:val="27"/>
        </w:rPr>
        <w:t xml:space="preserve">от</w:t>
      </w:r>
      <w:r>
        <w:rPr>
          <w:spacing w:val="-3"/>
          <w:sz w:val="27"/>
          <w:szCs w:val="27"/>
        </w:rPr>
        <w:t xml:space="preserve"> применения специальных надбавок к тарифам на транспортировку газа</w:t>
      </w:r>
      <w:r>
        <w:rPr>
          <w:spacing w:val="-3"/>
          <w:sz w:val="27"/>
          <w:szCs w:val="27"/>
        </w:rPr>
        <w:t xml:space="preserve"> по газораспределительным сетям ЗАО «</w:t>
      </w:r>
      <w:r>
        <w:rPr>
          <w:spacing w:val="-3"/>
          <w:sz w:val="27"/>
          <w:szCs w:val="27"/>
        </w:rPr>
        <w:t xml:space="preserve">Городищерайгаз</w:t>
      </w:r>
      <w:r>
        <w:rPr>
          <w:spacing w:val="-3"/>
          <w:sz w:val="27"/>
          <w:szCs w:val="27"/>
        </w:rPr>
        <w:t xml:space="preserve">»</w:t>
      </w:r>
      <w:r>
        <w:rPr>
          <w:spacing w:val="-3"/>
          <w:sz w:val="27"/>
          <w:szCs w:val="27"/>
        </w:rPr>
        <w:t xml:space="preserve"> в размере 1 025 273,01 руб. (кроме того, НДС в размере 7 273,84 руб.);</w:t>
      </w:r>
      <w:r/>
    </w:p>
    <w:p>
      <w:pPr>
        <w:ind w:firstLine="709"/>
        <w:jc w:val="both"/>
        <w:shd w:val="clear" w:fill="FFFFFF" w:color="FFFFFF"/>
        <w:widowControl w:val="off"/>
        <w:tabs>
          <w:tab w:val="left" w:pos="993" w:leader="none"/>
        </w:tabs>
        <w:rPr>
          <w:spacing w:val="-3"/>
          <w:sz w:val="27"/>
          <w:szCs w:val="27"/>
        </w:rPr>
      </w:pPr>
      <w:r>
        <w:rPr>
          <w:spacing w:val="-3"/>
          <w:sz w:val="27"/>
          <w:szCs w:val="27"/>
        </w:rPr>
        <w:t xml:space="preserve">- за счет средств единого оператора газификации ООО «Газпром газификация» в размере 747 329,65 руб. (кроме того, НДС в размере 7 273,84 руб.).</w:t>
      </w:r>
      <w:r/>
    </w:p>
    <w:p>
      <w:pPr>
        <w:numPr>
          <w:ilvl w:val="0"/>
          <w:numId w:val="4"/>
        </w:numPr>
        <w:ind w:left="0" w:right="-1" w:firstLine="709"/>
        <w:jc w:val="both"/>
        <w:shd w:val="clear" w:fill="FFFFFF" w:color="FFFFFF"/>
        <w:widowControl w:val="off"/>
        <w:tabs>
          <w:tab w:val="left" w:pos="993" w:leader="none"/>
        </w:tabs>
        <w:rPr>
          <w:spacing w:val="-3"/>
          <w:sz w:val="27"/>
          <w:szCs w:val="27"/>
        </w:rPr>
      </w:pPr>
      <w:r>
        <w:rPr>
          <w:spacing w:val="-3"/>
          <w:sz w:val="27"/>
          <w:szCs w:val="27"/>
        </w:rPr>
        <w:t xml:space="preserve">Настоящий приказ разместить (опубликовать) на официальном сайте </w:t>
      </w:r>
      <w:r>
        <w:rPr>
          <w:sz w:val="27"/>
          <w:szCs w:val="27"/>
          <w:lang w:eastAsia="ru-RU"/>
        </w:rPr>
        <w:t xml:space="preserve">Министерства по тарифному регулированию и государственным закупкам Пензенской области</w:t>
      </w:r>
      <w:r>
        <w:rPr>
          <w:spacing w:val="-3"/>
          <w:sz w:val="27"/>
          <w:szCs w:val="27"/>
        </w:rPr>
        <w:t xml:space="preserve"> в информационно-телекоммуникационной сети «Интернет».</w:t>
      </w:r>
      <w:r/>
    </w:p>
    <w:p>
      <w:pPr>
        <w:numPr>
          <w:ilvl w:val="0"/>
          <w:numId w:val="4"/>
        </w:numPr>
        <w:ind w:left="0" w:right="-1" w:firstLine="709"/>
        <w:jc w:val="both"/>
        <w:shd w:val="clear" w:fill="FFFFFF" w:color="FFFFFF"/>
        <w:widowControl w:val="off"/>
        <w:tabs>
          <w:tab w:val="left" w:pos="993" w:leader="none"/>
        </w:tabs>
        <w:rPr>
          <w:spacing w:val="-3"/>
          <w:sz w:val="27"/>
          <w:szCs w:val="27"/>
        </w:rPr>
      </w:pPr>
      <w:r>
        <w:rPr>
          <w:sz w:val="27"/>
          <w:szCs w:val="27"/>
        </w:rPr>
        <w:t xml:space="preserve">Настоящий приказ вступает в силу со дня его подписания.</w:t>
      </w:r>
      <w:r/>
    </w:p>
    <w:p>
      <w:pPr>
        <w:numPr>
          <w:ilvl w:val="0"/>
          <w:numId w:val="4"/>
        </w:numPr>
        <w:ind w:left="0" w:right="-1" w:firstLine="709"/>
        <w:jc w:val="both"/>
        <w:shd w:val="clear" w:fill="FFFFFF" w:color="FFFFFF"/>
        <w:widowControl w:val="off"/>
        <w:tabs>
          <w:tab w:val="left" w:pos="993" w:leader="none"/>
        </w:tabs>
        <w:rPr>
          <w:spacing w:val="-3"/>
          <w:sz w:val="27"/>
          <w:szCs w:val="27"/>
        </w:rPr>
      </w:pPr>
      <w:r>
        <w:rPr>
          <w:sz w:val="27"/>
          <w:szCs w:val="27"/>
        </w:rPr>
        <w:t xml:space="preserve">Контроль за исполнением настоящего приказа оставляю за собой.</w:t>
      </w:r>
      <w:r/>
    </w:p>
    <w:p>
      <w:pPr>
        <w:ind w:right="-1"/>
        <w:jc w:val="both"/>
        <w:shd w:val="clear" w:fill="FFFFFF" w:color="FFFFFF"/>
        <w:widowControl w:val="off"/>
        <w:tabs>
          <w:tab w:val="left" w:pos="993" w:leader="none"/>
        </w:tabs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ind w:right="-1"/>
        <w:jc w:val="both"/>
        <w:shd w:val="clear" w:fill="FFFFFF" w:color="FFFFFF"/>
        <w:widowControl w:val="off"/>
        <w:tabs>
          <w:tab w:val="left" w:pos="993" w:leader="none"/>
        </w:tabs>
        <w:rPr>
          <w:spacing w:val="-3"/>
          <w:sz w:val="27"/>
          <w:szCs w:val="27"/>
        </w:rPr>
      </w:pPr>
      <w:r>
        <w:rPr>
          <w:spacing w:val="-3"/>
          <w:sz w:val="27"/>
          <w:szCs w:val="27"/>
        </w:rPr>
      </w:r>
      <w:r/>
    </w:p>
    <w:p>
      <w:pPr>
        <w:ind w:right="-1"/>
        <w:jc w:val="both"/>
        <w:shd w:val="clear" w:fill="FFFFFF" w:color="FFFFFF"/>
        <w:widowControl w:val="off"/>
        <w:tabs>
          <w:tab w:val="left" w:pos="993" w:leader="none"/>
        </w:tabs>
        <w:rPr>
          <w:spacing w:val="-3"/>
          <w:sz w:val="27"/>
          <w:szCs w:val="27"/>
        </w:rPr>
      </w:pPr>
      <w:r>
        <w:rPr>
          <w:spacing w:val="-3"/>
          <w:sz w:val="27"/>
          <w:szCs w:val="27"/>
        </w:rPr>
      </w:r>
      <w:r/>
    </w:p>
    <w:p>
      <w:pPr>
        <w:widowControl w:val="off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 xml:space="preserve">Министр            </w:t>
      </w:r>
      <w:r>
        <w:rPr>
          <w:sz w:val="27"/>
          <w:szCs w:val="27"/>
          <w:lang w:eastAsia="ru-RU"/>
        </w:rPr>
        <w:t xml:space="preserve">                                       </w:t>
      </w:r>
      <w:r>
        <w:rPr>
          <w:sz w:val="27"/>
          <w:szCs w:val="27"/>
          <w:lang w:eastAsia="ru-RU"/>
        </w:rPr>
        <w:t xml:space="preserve">                                       </w:t>
      </w:r>
      <w:r>
        <w:rPr>
          <w:sz w:val="27"/>
          <w:szCs w:val="27"/>
          <w:lang w:eastAsia="ru-RU"/>
        </w:rPr>
        <w:t xml:space="preserve"> </w:t>
      </w:r>
      <w:r>
        <w:rPr>
          <w:sz w:val="27"/>
          <w:szCs w:val="27"/>
          <w:lang w:eastAsia="ru-RU"/>
        </w:rPr>
        <w:t xml:space="preserve">Д.И. Сагайдачный</w:t>
      </w:r>
      <w:r/>
    </w:p>
    <w:p>
      <w:pPr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</w:r>
      <w:r/>
    </w:p>
    <w:p>
      <w:pPr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</w:r>
      <w:r/>
    </w:p>
    <w:p>
      <w:pPr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</w:r>
      <w:r/>
    </w:p>
    <w:p>
      <w:pPr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613" w:hanging="360"/>
      </w:pPr>
      <w:rPr>
        <w:rFonts w:hint="default"/>
        <w:b w:val="false"/>
        <w:i w:val="false"/>
        <w:sz w:val="27"/>
        <w:szCs w:val="27"/>
      </w:rPr>
    </w:lvl>
    <w:lvl w:ilvl="1">
      <w:start w:val="1"/>
      <w:numFmt w:val="lowerLetter"/>
      <w:isLgl w:val="false"/>
      <w:suff w:val="tab"/>
      <w:lvlText w:val="%2."/>
      <w:lvlJc w:val="left"/>
      <w:pPr>
        <w:ind w:left="533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60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677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74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82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9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96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0373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419"/>
    <w:next w:val="419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420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419"/>
    <w:next w:val="419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420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419"/>
    <w:next w:val="419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420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419"/>
    <w:next w:val="419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420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419"/>
    <w:next w:val="419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420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419"/>
    <w:next w:val="419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420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419"/>
    <w:next w:val="419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420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419"/>
    <w:next w:val="419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420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419"/>
    <w:next w:val="419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420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419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419"/>
    <w:next w:val="419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420"/>
    <w:link w:val="32"/>
    <w:uiPriority w:val="10"/>
    <w:rPr>
      <w:sz w:val="48"/>
      <w:szCs w:val="48"/>
    </w:rPr>
  </w:style>
  <w:style w:type="paragraph" w:styleId="34">
    <w:name w:val="Subtitle"/>
    <w:basedOn w:val="419"/>
    <w:next w:val="419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420"/>
    <w:link w:val="34"/>
    <w:uiPriority w:val="11"/>
    <w:rPr>
      <w:sz w:val="24"/>
      <w:szCs w:val="24"/>
    </w:rPr>
  </w:style>
  <w:style w:type="paragraph" w:styleId="36">
    <w:name w:val="Quote"/>
    <w:basedOn w:val="419"/>
    <w:next w:val="419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419"/>
    <w:next w:val="419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419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420"/>
    <w:link w:val="40"/>
    <w:uiPriority w:val="99"/>
  </w:style>
  <w:style w:type="paragraph" w:styleId="42">
    <w:name w:val="Footer"/>
    <w:basedOn w:val="419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420"/>
    <w:link w:val="42"/>
    <w:uiPriority w:val="99"/>
  </w:style>
  <w:style w:type="paragraph" w:styleId="44">
    <w:name w:val="Caption"/>
    <w:basedOn w:val="419"/>
    <w:next w:val="419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421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42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42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421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42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42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42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42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42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42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42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42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42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173">
    <w:name w:val="footnote text"/>
    <w:basedOn w:val="419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420"/>
    <w:uiPriority w:val="99"/>
    <w:unhideWhenUsed/>
    <w:rPr>
      <w:vertAlign w:val="superscript"/>
    </w:rPr>
  </w:style>
  <w:style w:type="paragraph" w:styleId="176">
    <w:name w:val="endnote text"/>
    <w:basedOn w:val="419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420"/>
    <w:uiPriority w:val="99"/>
    <w:semiHidden/>
    <w:unhideWhenUsed/>
    <w:rPr>
      <w:vertAlign w:val="superscript"/>
    </w:rPr>
  </w:style>
  <w:style w:type="paragraph" w:styleId="179">
    <w:name w:val="toc 1"/>
    <w:basedOn w:val="419"/>
    <w:next w:val="419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419"/>
    <w:next w:val="419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419"/>
    <w:next w:val="419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419"/>
    <w:next w:val="419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419"/>
    <w:next w:val="419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419"/>
    <w:next w:val="419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419"/>
    <w:next w:val="419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419"/>
    <w:next w:val="419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419"/>
    <w:next w:val="419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419" w:default="1">
    <w:name w:val="Normal"/>
    <w:qFormat/>
    <w:rPr>
      <w:rFonts w:ascii="Times New Roman" w:hAnsi="Times New Roman" w:cs="Times New Roman" w:eastAsia="Times New Roman"/>
      <w:sz w:val="24"/>
      <w:szCs w:val="24"/>
      <w:lang w:eastAsia="ar-SA"/>
    </w:rPr>
    <w:pPr>
      <w:spacing w:lineRule="auto" w:line="240" w:after="0"/>
    </w:pPr>
  </w:style>
  <w:style w:type="character" w:styleId="420" w:default="1">
    <w:name w:val="Default Paragraph Font"/>
    <w:uiPriority w:val="1"/>
    <w:semiHidden/>
    <w:unhideWhenUsed/>
  </w:style>
  <w:style w:type="table" w:styleId="4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22" w:default="1">
    <w:name w:val="No List"/>
    <w:uiPriority w:val="99"/>
    <w:semiHidden/>
    <w:unhideWhenUsed/>
  </w:style>
  <w:style w:type="character" w:styleId="423">
    <w:name w:val="Hyperlink"/>
    <w:rPr>
      <w:color w:val="0000FF"/>
      <w:u w:val="single"/>
    </w:rPr>
  </w:style>
  <w:style w:type="paragraph" w:styleId="424" w:customStyle="1">
    <w:name w:val="ConsPlusNormal"/>
    <w:rPr>
      <w:rFonts w:ascii="Calibri" w:hAnsi="Calibri" w:cs="Calibri" w:eastAsia="Times New Roman"/>
      <w:sz w:val="20"/>
      <w:szCs w:val="20"/>
      <w:lang w:eastAsia="ru-RU"/>
    </w:rPr>
    <w:pPr>
      <w:spacing w:lineRule="auto" w:line="240" w:after="0"/>
      <w:widowControl w:val="off"/>
    </w:pPr>
  </w:style>
  <w:style w:type="paragraph" w:styleId="425">
    <w:name w:val="Balloon Text"/>
    <w:basedOn w:val="419"/>
    <w:link w:val="426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426" w:customStyle="1">
    <w:name w:val="Текст выноски Знак"/>
    <w:basedOn w:val="420"/>
    <w:link w:val="425"/>
    <w:uiPriority w:val="99"/>
    <w:semiHidden/>
    <w:rPr>
      <w:rFonts w:ascii="Segoe UI" w:hAnsi="Segoe UI" w:cs="Segoe UI" w:eastAsia="Times New Roman"/>
      <w:sz w:val="18"/>
      <w:szCs w:val="18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Р7-Офис/6.1.0.68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24</cp:revision>
  <dcterms:created xsi:type="dcterms:W3CDTF">2026-04-13T09:20:00Z</dcterms:created>
  <dcterms:modified xsi:type="dcterms:W3CDTF">2026-07-28T11:39:53Z</dcterms:modified>
</cp:coreProperties>
</file>