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FC135E">
        <w:trPr>
          <w:jc w:val="center"/>
        </w:trPr>
        <w:tc>
          <w:tcPr>
            <w:tcW w:w="9639" w:type="dxa"/>
          </w:tcPr>
          <w:p w:rsidR="00FC135E" w:rsidRDefault="00A55AD0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1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Описание: D:\Цветной герб для бланка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135E">
        <w:trPr>
          <w:jc w:val="center"/>
        </w:trPr>
        <w:tc>
          <w:tcPr>
            <w:tcW w:w="9639" w:type="dxa"/>
          </w:tcPr>
          <w:p w:rsidR="00FC135E" w:rsidRDefault="00FC135E">
            <w:pPr>
              <w:widowControl/>
              <w:jc w:val="center"/>
              <w:rPr>
                <w:sz w:val="30"/>
              </w:rPr>
            </w:pPr>
          </w:p>
        </w:tc>
      </w:tr>
      <w:tr w:rsidR="00FC135E">
        <w:trPr>
          <w:jc w:val="center"/>
        </w:trPr>
        <w:tc>
          <w:tcPr>
            <w:tcW w:w="9639" w:type="dxa"/>
          </w:tcPr>
          <w:p w:rsidR="00FC135E" w:rsidRDefault="00FC135E">
            <w:pPr>
              <w:widowControl/>
              <w:jc w:val="center"/>
              <w:rPr>
                <w:sz w:val="30"/>
              </w:rPr>
            </w:pPr>
          </w:p>
        </w:tc>
      </w:tr>
      <w:tr w:rsidR="00FC135E">
        <w:trPr>
          <w:jc w:val="center"/>
        </w:trPr>
        <w:tc>
          <w:tcPr>
            <w:tcW w:w="9639" w:type="dxa"/>
          </w:tcPr>
          <w:p w:rsidR="00FC135E" w:rsidRDefault="00FC135E">
            <w:pPr>
              <w:widowControl/>
              <w:jc w:val="center"/>
              <w:rPr>
                <w:sz w:val="30"/>
              </w:rPr>
            </w:pPr>
          </w:p>
        </w:tc>
      </w:tr>
      <w:tr w:rsidR="00FC135E">
        <w:trPr>
          <w:jc w:val="center"/>
        </w:trPr>
        <w:tc>
          <w:tcPr>
            <w:tcW w:w="9639" w:type="dxa"/>
          </w:tcPr>
          <w:p w:rsidR="00FC135E" w:rsidRDefault="00A55AD0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FC135E">
        <w:trPr>
          <w:jc w:val="center"/>
        </w:trPr>
        <w:tc>
          <w:tcPr>
            <w:tcW w:w="9639" w:type="dxa"/>
          </w:tcPr>
          <w:p w:rsidR="00FC135E" w:rsidRDefault="00FC135E">
            <w:pPr>
              <w:widowControl/>
              <w:jc w:val="center"/>
              <w:rPr>
                <w:sz w:val="36"/>
              </w:rPr>
            </w:pPr>
          </w:p>
        </w:tc>
      </w:tr>
      <w:tr w:rsidR="00FC135E">
        <w:trPr>
          <w:jc w:val="center"/>
        </w:trPr>
        <w:tc>
          <w:tcPr>
            <w:tcW w:w="9639" w:type="dxa"/>
          </w:tcPr>
          <w:p w:rsidR="00FC135E" w:rsidRDefault="00A55AD0">
            <w:pPr>
              <w:pStyle w:val="3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</w:tr>
      <w:tr w:rsidR="00FC135E">
        <w:trPr>
          <w:jc w:val="center"/>
        </w:trPr>
        <w:tc>
          <w:tcPr>
            <w:tcW w:w="9639" w:type="dxa"/>
            <w:vAlign w:val="center"/>
          </w:tcPr>
          <w:p w:rsidR="00FC135E" w:rsidRDefault="00FC135E">
            <w:pPr>
              <w:pStyle w:val="3"/>
              <w:rPr>
                <w:sz w:val="32"/>
                <w:szCs w:val="34"/>
              </w:rPr>
            </w:pPr>
          </w:p>
        </w:tc>
      </w:tr>
    </w:tbl>
    <w:p w:rsidR="00FC135E" w:rsidRDefault="00FC135E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C135E">
        <w:trPr>
          <w:jc w:val="center"/>
        </w:trPr>
        <w:tc>
          <w:tcPr>
            <w:tcW w:w="284" w:type="dxa"/>
            <w:vAlign w:val="bottom"/>
          </w:tcPr>
          <w:p w:rsidR="00FC135E" w:rsidRDefault="00FC135E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C135E" w:rsidRDefault="00FC13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FC135E" w:rsidRDefault="00A55AD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C135E" w:rsidRDefault="00FC135E">
            <w:pPr>
              <w:widowControl/>
              <w:jc w:val="center"/>
              <w:rPr>
                <w:sz w:val="24"/>
              </w:rPr>
            </w:pPr>
          </w:p>
        </w:tc>
      </w:tr>
      <w:tr w:rsidR="00FC135E">
        <w:trPr>
          <w:jc w:val="center"/>
        </w:trPr>
        <w:tc>
          <w:tcPr>
            <w:tcW w:w="4650" w:type="dxa"/>
            <w:gridSpan w:val="4"/>
          </w:tcPr>
          <w:p w:rsidR="00FC135E" w:rsidRDefault="00FC135E">
            <w:pPr>
              <w:widowControl/>
              <w:jc w:val="center"/>
              <w:rPr>
                <w:sz w:val="10"/>
              </w:rPr>
            </w:pPr>
          </w:p>
          <w:p w:rsidR="00FC135E" w:rsidRDefault="00A55AD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 Пенза</w:t>
            </w:r>
          </w:p>
        </w:tc>
      </w:tr>
    </w:tbl>
    <w:p w:rsidR="00FC135E" w:rsidRDefault="00FC135E">
      <w:pPr>
        <w:rPr>
          <w:b/>
          <w:sz w:val="28"/>
        </w:rPr>
      </w:pPr>
    </w:p>
    <w:p w:rsidR="00FC135E" w:rsidRDefault="00FC135E">
      <w:pPr>
        <w:rPr>
          <w:b/>
          <w:sz w:val="28"/>
        </w:rPr>
      </w:pPr>
    </w:p>
    <w:p w:rsidR="00FC135E" w:rsidRDefault="00A55AD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отдельные нормативные правовые акты Правительства Пензенской области</w:t>
      </w:r>
    </w:p>
    <w:p w:rsidR="00FC135E" w:rsidRDefault="00FC135E">
      <w:pPr>
        <w:jc w:val="center"/>
        <w:rPr>
          <w:b/>
          <w:sz w:val="28"/>
          <w:szCs w:val="28"/>
        </w:rPr>
      </w:pPr>
    </w:p>
    <w:p w:rsidR="00FC135E" w:rsidRPr="00AD5FDC" w:rsidRDefault="00A55AD0" w:rsidP="00AD5FDC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Пензенской области </w:t>
      </w:r>
      <w:r>
        <w:rPr>
          <w:rFonts w:eastAsia="Calibri"/>
          <w:sz w:val="28"/>
          <w:szCs w:val="28"/>
          <w:lang w:eastAsia="en-US"/>
        </w:rPr>
        <w:t xml:space="preserve">от 22.05.2026 № 4762-ЗПО </w:t>
      </w:r>
      <w:r>
        <w:rPr>
          <w:sz w:val="28"/>
          <w:szCs w:val="28"/>
        </w:rPr>
        <w:t xml:space="preserve">«О Правительстве Пензенской области», Правительство Пензенской области </w:t>
      </w:r>
      <w:r w:rsidR="00AD5FDC">
        <w:rPr>
          <w:sz w:val="28"/>
          <w:szCs w:val="28"/>
        </w:rPr>
        <w:t xml:space="preserve">     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FC135E" w:rsidRDefault="00A55A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Внести в постановление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 (с последующими изменениями) (далее – Постановление 1) следующие изменения: </w:t>
      </w:r>
      <w:proofErr w:type="gramEnd"/>
    </w:p>
    <w:p w:rsidR="006F6566" w:rsidRPr="006F6566" w:rsidRDefault="006F65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Pr="006F6566">
        <w:rPr>
          <w:spacing w:val="-4"/>
          <w:sz w:val="27"/>
          <w:szCs w:val="27"/>
        </w:rPr>
        <w:t xml:space="preserve"> </w:t>
      </w:r>
      <w:r w:rsidR="00F25AE1">
        <w:rPr>
          <w:spacing w:val="-4"/>
          <w:sz w:val="28"/>
          <w:szCs w:val="28"/>
        </w:rPr>
        <w:t>в преамбуле П</w:t>
      </w:r>
      <w:r w:rsidRPr="006F6566">
        <w:rPr>
          <w:spacing w:val="-4"/>
          <w:sz w:val="28"/>
          <w:szCs w:val="28"/>
        </w:rPr>
        <w:t>остановления</w:t>
      </w:r>
      <w:r w:rsidR="00F25AE1">
        <w:rPr>
          <w:spacing w:val="-4"/>
          <w:sz w:val="28"/>
          <w:szCs w:val="28"/>
        </w:rPr>
        <w:t xml:space="preserve"> 1</w:t>
      </w:r>
      <w:r w:rsidRPr="006F6566">
        <w:rPr>
          <w:spacing w:val="-4"/>
          <w:sz w:val="28"/>
          <w:szCs w:val="28"/>
        </w:rPr>
        <w:t xml:space="preserve"> слова «от 21.04.2023 № 4006-ЗПО «О Правительстве Пензенской области» (с последующими изменениями)» заменить с</w:t>
      </w:r>
      <w:r w:rsidR="00F25AE1">
        <w:rPr>
          <w:spacing w:val="-4"/>
          <w:sz w:val="28"/>
          <w:szCs w:val="28"/>
        </w:rPr>
        <w:t xml:space="preserve">ловами «от </w:t>
      </w:r>
      <w:r w:rsidRPr="006F6566">
        <w:rPr>
          <w:spacing w:val="-4"/>
          <w:sz w:val="28"/>
          <w:szCs w:val="28"/>
        </w:rPr>
        <w:t>22.05.2026 № 4762-ЗПО «О Правительстве Пензенской области»</w:t>
      </w:r>
      <w:r>
        <w:rPr>
          <w:spacing w:val="-4"/>
          <w:sz w:val="28"/>
          <w:szCs w:val="28"/>
        </w:rPr>
        <w:t>;</w:t>
      </w:r>
    </w:p>
    <w:p w:rsidR="00FC135E" w:rsidRDefault="00A55A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25AE1">
        <w:rPr>
          <w:bCs/>
          <w:sz w:val="28"/>
          <w:szCs w:val="28"/>
        </w:rPr>
        <w:t>.2. П</w:t>
      </w:r>
      <w:r>
        <w:rPr>
          <w:bCs/>
          <w:sz w:val="28"/>
          <w:szCs w:val="28"/>
        </w:rPr>
        <w:t xml:space="preserve">еречень индикаторов риска нарушения обязательных требований, утвержденный Постановлением 1, изложить в новой редакции согласно приложению № 1 к настоящему постановлению. </w:t>
      </w:r>
    </w:p>
    <w:p w:rsidR="00FC135E" w:rsidRDefault="00A55AD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в постановление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</w:t>
      </w:r>
      <w:bookmarkStart w:id="0" w:name="_GoBack"/>
      <w:bookmarkEnd w:id="0"/>
      <w:r>
        <w:rPr>
          <w:sz w:val="28"/>
          <w:szCs w:val="28"/>
        </w:rPr>
        <w:t xml:space="preserve">и изменений в постановление Правительства Пензенской области от 30.11.2021 № 800-пП» (с последующими изменениями) (далее – Постановление 2) следующие изменения: </w:t>
      </w:r>
      <w:proofErr w:type="gramEnd"/>
    </w:p>
    <w:p w:rsidR="006F6566" w:rsidRPr="006F6566" w:rsidRDefault="006F6566" w:rsidP="006F656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="00F25AE1">
        <w:rPr>
          <w:spacing w:val="-4"/>
          <w:sz w:val="28"/>
          <w:szCs w:val="28"/>
        </w:rPr>
        <w:t xml:space="preserve"> в преамбуле П</w:t>
      </w:r>
      <w:r w:rsidRPr="006F6566">
        <w:rPr>
          <w:spacing w:val="-4"/>
          <w:sz w:val="28"/>
          <w:szCs w:val="28"/>
        </w:rPr>
        <w:t>остановления</w:t>
      </w:r>
      <w:r w:rsidR="00F25AE1">
        <w:rPr>
          <w:spacing w:val="-4"/>
          <w:sz w:val="28"/>
          <w:szCs w:val="28"/>
        </w:rPr>
        <w:t xml:space="preserve"> 2</w:t>
      </w:r>
      <w:r w:rsidRPr="006F6566">
        <w:rPr>
          <w:spacing w:val="-4"/>
          <w:sz w:val="28"/>
          <w:szCs w:val="28"/>
        </w:rPr>
        <w:t xml:space="preserve"> слова «от 21.04.2023 № 4006-ЗПО «О Правительстве Пензенской области» (с последующими изменениями)» заменить словами «от 22.05.2026 № 4762-ЗПО «О Правительстве Пензенской области»</w:t>
      </w:r>
      <w:r>
        <w:rPr>
          <w:spacing w:val="-4"/>
          <w:sz w:val="28"/>
          <w:szCs w:val="28"/>
        </w:rPr>
        <w:t>;</w:t>
      </w:r>
    </w:p>
    <w:p w:rsidR="00FC135E" w:rsidRDefault="006F65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55AD0">
        <w:rPr>
          <w:sz w:val="28"/>
          <w:szCs w:val="28"/>
        </w:rPr>
        <w:t xml:space="preserve">. </w:t>
      </w:r>
      <w:r w:rsidR="00F25AE1">
        <w:rPr>
          <w:bCs/>
          <w:sz w:val="28"/>
          <w:szCs w:val="28"/>
        </w:rPr>
        <w:t xml:space="preserve"> П</w:t>
      </w:r>
      <w:r w:rsidR="00A55AD0">
        <w:rPr>
          <w:bCs/>
          <w:sz w:val="28"/>
          <w:szCs w:val="28"/>
        </w:rPr>
        <w:t>еречень индикаторов риска нарушения обязательных требований, утвержденный Постановлением 2, изложить в новой редакции согласно приложению № 2 к настоящему постановлению.</w:t>
      </w:r>
    </w:p>
    <w:p w:rsidR="00FC135E" w:rsidRDefault="00A55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FC135E" w:rsidRDefault="00A55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«Пензенские губернские ведомости» и разместить (опубликовать) на «Официальном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FC135E" w:rsidRDefault="00A55A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</w:r>
      <w:r>
        <w:rPr>
          <w:spacing w:val="-8"/>
          <w:sz w:val="28"/>
        </w:rPr>
        <w:t>на заместителя Председателя Правительства Пензенской области, координирующего</w:t>
      </w:r>
      <w:r>
        <w:rPr>
          <w:sz w:val="28"/>
        </w:rPr>
        <w:t xml:space="preserve"> вопросы реализации единой государственной тарифной, ценовой и энергосберегающей политики.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FC135E">
        <w:tc>
          <w:tcPr>
            <w:tcW w:w="3936" w:type="dxa"/>
          </w:tcPr>
          <w:p w:rsidR="00FC135E" w:rsidRDefault="00FC135E">
            <w:pPr>
              <w:pStyle w:val="4"/>
              <w:rPr>
                <w:color w:val="000000"/>
              </w:rPr>
            </w:pPr>
          </w:p>
          <w:p w:rsidR="00FC135E" w:rsidRDefault="00A55AD0">
            <w:pPr>
              <w:pStyle w:val="4"/>
              <w:rPr>
                <w:color w:val="00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Временно </w:t>
            </w:r>
            <w:proofErr w:type="gramStart"/>
            <w:r>
              <w:rPr>
                <w:color w:val="000000" w:themeColor="text1"/>
                <w:highlight w:val="white"/>
              </w:rPr>
              <w:t>исполняющий</w:t>
            </w:r>
            <w:proofErr w:type="gramEnd"/>
            <w:r>
              <w:rPr>
                <w:color w:val="000000" w:themeColor="text1"/>
                <w:highlight w:val="white"/>
              </w:rPr>
              <w:t xml:space="preserve"> обязанности </w:t>
            </w:r>
          </w:p>
          <w:p w:rsidR="00FC135E" w:rsidRDefault="00A55AD0">
            <w:pPr>
              <w:pStyle w:val="4"/>
              <w:rPr>
                <w:color w:val="00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Председателя Правительства </w:t>
            </w:r>
          </w:p>
          <w:p w:rsidR="00FC135E" w:rsidRDefault="00A55AD0">
            <w:pPr>
              <w:pStyle w:val="4"/>
              <w:rPr>
                <w:color w:val="000000"/>
              </w:rPr>
            </w:pPr>
            <w:r>
              <w:rPr>
                <w:color w:val="000000" w:themeColor="text1"/>
                <w:highlight w:val="white"/>
              </w:rPr>
              <w:t>Пензенской области</w:t>
            </w:r>
          </w:p>
        </w:tc>
        <w:tc>
          <w:tcPr>
            <w:tcW w:w="5918" w:type="dxa"/>
          </w:tcPr>
          <w:p w:rsidR="00FC135E" w:rsidRDefault="00FC135E">
            <w:pPr>
              <w:rPr>
                <w:sz w:val="28"/>
              </w:rPr>
            </w:pPr>
          </w:p>
          <w:p w:rsidR="00FC135E" w:rsidRDefault="00FC135E">
            <w:pPr>
              <w:jc w:val="right"/>
              <w:rPr>
                <w:sz w:val="28"/>
              </w:rPr>
            </w:pPr>
          </w:p>
          <w:p w:rsidR="00FC135E" w:rsidRDefault="00A55AD0">
            <w:pPr>
              <w:jc w:val="right"/>
              <w:rPr>
                <w:sz w:val="28"/>
              </w:rPr>
            </w:pPr>
            <w:r>
              <w:rPr>
                <w:sz w:val="28"/>
              </w:rPr>
              <w:t>Н.П. Симонов</w:t>
            </w:r>
          </w:p>
        </w:tc>
      </w:tr>
    </w:tbl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A55AD0">
      <w:pPr>
        <w:jc w:val="right"/>
      </w:pPr>
      <w:r>
        <w:rPr>
          <w:sz w:val="28"/>
          <w:szCs w:val="28"/>
        </w:rPr>
        <w:lastRenderedPageBreak/>
        <w:t>Приложение № 1</w:t>
      </w:r>
    </w:p>
    <w:p w:rsidR="00FC135E" w:rsidRDefault="00A55AD0">
      <w:pPr>
        <w:jc w:val="right"/>
      </w:pPr>
      <w:r>
        <w:rPr>
          <w:sz w:val="28"/>
          <w:szCs w:val="28"/>
        </w:rPr>
        <w:t>к постановлению</w:t>
      </w:r>
    </w:p>
    <w:p w:rsidR="00FC135E" w:rsidRDefault="00A55AD0">
      <w:pPr>
        <w:jc w:val="right"/>
      </w:pPr>
      <w:r>
        <w:rPr>
          <w:sz w:val="28"/>
          <w:szCs w:val="28"/>
        </w:rPr>
        <w:t>Правительства Пензенской области</w:t>
      </w:r>
    </w:p>
    <w:p w:rsidR="00FC135E" w:rsidRDefault="00A55AD0">
      <w:pPr>
        <w:jc w:val="right"/>
      </w:pPr>
      <w:r>
        <w:rPr>
          <w:sz w:val="28"/>
          <w:szCs w:val="28"/>
        </w:rPr>
        <w:t>от __________ № _________</w:t>
      </w:r>
    </w:p>
    <w:p w:rsidR="00FC135E" w:rsidRDefault="00FC135E">
      <w:pPr>
        <w:jc w:val="right"/>
      </w:pPr>
    </w:p>
    <w:p w:rsidR="00FC135E" w:rsidRDefault="00A55AD0">
      <w:pPr>
        <w:jc w:val="right"/>
      </w:pPr>
      <w:r>
        <w:rPr>
          <w:sz w:val="28"/>
          <w:szCs w:val="28"/>
        </w:rPr>
        <w:t>«Утвержден</w:t>
      </w:r>
    </w:p>
    <w:p w:rsidR="00FC135E" w:rsidRDefault="00A55AD0">
      <w:pPr>
        <w:jc w:val="right"/>
      </w:pPr>
      <w:r>
        <w:rPr>
          <w:sz w:val="28"/>
          <w:szCs w:val="28"/>
        </w:rPr>
        <w:t>постановлением</w:t>
      </w:r>
    </w:p>
    <w:p w:rsidR="00FC135E" w:rsidRDefault="00A55AD0">
      <w:pPr>
        <w:jc w:val="right"/>
      </w:pPr>
      <w:r>
        <w:rPr>
          <w:sz w:val="28"/>
          <w:szCs w:val="28"/>
        </w:rPr>
        <w:t>Правительства Пензенской области</w:t>
      </w:r>
    </w:p>
    <w:p w:rsidR="00FC135E" w:rsidRDefault="00A55AD0">
      <w:pPr>
        <w:jc w:val="right"/>
        <w:rPr>
          <w:sz w:val="28"/>
        </w:rPr>
      </w:pPr>
      <w:r>
        <w:rPr>
          <w:sz w:val="28"/>
          <w:szCs w:val="28"/>
        </w:rPr>
        <w:t>от 30.11.2021 № 800-пП</w:t>
      </w:r>
    </w:p>
    <w:p w:rsidR="00FC135E" w:rsidRDefault="00FC135E">
      <w:pPr>
        <w:jc w:val="center"/>
        <w:rPr>
          <w:sz w:val="28"/>
          <w:szCs w:val="28"/>
        </w:rPr>
      </w:pPr>
    </w:p>
    <w:p w:rsidR="00FC135E" w:rsidRDefault="00FC135E"/>
    <w:p w:rsidR="00FC135E" w:rsidRDefault="00A55AD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индикаторов риска нарушения обязательных требований </w:t>
      </w:r>
    </w:p>
    <w:p w:rsidR="00FC135E" w:rsidRDefault="00FC135E">
      <w:pPr>
        <w:jc w:val="center"/>
        <w:rPr>
          <w:b/>
          <w:sz w:val="28"/>
          <w:szCs w:val="28"/>
        </w:rPr>
      </w:pPr>
    </w:p>
    <w:p w:rsidR="00FC135E" w:rsidRDefault="00A55A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Региональный государственный контроль (надзор) в сферах естественных монополий</w:t>
      </w:r>
      <w:r>
        <w:rPr>
          <w:sz w:val="28"/>
          <w:szCs w:val="28"/>
        </w:rPr>
        <w:t>:</w:t>
      </w:r>
    </w:p>
    <w:p w:rsidR="00FC135E" w:rsidRDefault="00A55A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</w:rPr>
        <w:t>Факт увеличения более чем на 25 процентов выручки контролируемого лица от реализации товаров (работ, услуг) по регулируемым ценам (тарифам) по итогам отчетного финансового года в разрезе  соответствующего вида деятельности по сравнению с годом, предшествующим отчетному финансовому году, при отсутствии факта увеличения более чем на 10 процентов объема оказанных услуг по регулируемому виду деятельности (за исключением случаев, если такой рост обусловлен</w:t>
      </w:r>
      <w:proofErr w:type="gramEnd"/>
      <w:r>
        <w:rPr>
          <w:sz w:val="28"/>
        </w:rPr>
        <w:t xml:space="preserve"> изменением утвержденных регулируемых цен (тарифов)), </w:t>
      </w:r>
      <w:proofErr w:type="gramStart"/>
      <w:r>
        <w:rPr>
          <w:sz w:val="28"/>
        </w:rPr>
        <w:t>рассчитанный</w:t>
      </w:r>
      <w:proofErr w:type="gramEnd"/>
      <w:r>
        <w:rPr>
          <w:sz w:val="28"/>
        </w:rPr>
        <w:t xml:space="preserve"> по формулам: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color w:val="000000"/>
          <w:sz w:val="28"/>
          <w:highlight w:val="white"/>
        </w:rPr>
        <w:t>(ВПг</w:t>
      </w:r>
      <w:proofErr w:type="gramStart"/>
      <w:r>
        <w:rPr>
          <w:color w:val="000000"/>
          <w:sz w:val="28"/>
          <w:highlight w:val="white"/>
        </w:rPr>
        <w:t>1</w:t>
      </w:r>
      <w:proofErr w:type="gramEnd"/>
      <w:r>
        <w:rPr>
          <w:color w:val="000000"/>
          <w:sz w:val="28"/>
          <w:highlight w:val="white"/>
        </w:rPr>
        <w:t>/ ВПг2-1)×100%</w:t>
      </w:r>
      <w:r>
        <w:rPr>
          <w:sz w:val="28"/>
        </w:rPr>
        <w:t>&gt; 25 %,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 (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пг1  </w:t>
      </w:r>
      <w:r>
        <w:rPr>
          <w:sz w:val="28"/>
        </w:rPr>
        <w:t xml:space="preserve">/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услуг пг2</w:t>
      </w:r>
      <w:proofErr w:type="gramStart"/>
      <w:r>
        <w:rPr>
          <w:sz w:val="28"/>
          <w:vertAlign w:val="subscript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 </w:t>
      </w:r>
      <w:r>
        <w:rPr>
          <w:color w:val="000000"/>
          <w:sz w:val="28"/>
          <w:highlight w:val="white"/>
        </w:rPr>
        <w:t>×</w:t>
      </w:r>
      <w:r>
        <w:rPr>
          <w:sz w:val="28"/>
        </w:rPr>
        <w:t xml:space="preserve"> 100% &lt; 10 % ,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где: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ВПг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выручка отчетного финансового года;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ВПг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выручка года, предшествующего отчетному финансовому  году;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</w:t>
      </w:r>
      <w:proofErr w:type="gramStart"/>
      <w:r>
        <w:rPr>
          <w:sz w:val="28"/>
          <w:vertAlign w:val="subscript"/>
        </w:rPr>
        <w:t xml:space="preserve">пг1  </w:t>
      </w:r>
      <w:r>
        <w:rPr>
          <w:sz w:val="28"/>
        </w:rPr>
        <w:t>-</w:t>
      </w:r>
      <w:proofErr w:type="gramEnd"/>
      <w:r>
        <w:rPr>
          <w:sz w:val="28"/>
        </w:rPr>
        <w:t xml:space="preserve"> объем услуг отчетного финансового года;</w:t>
      </w:r>
    </w:p>
    <w:p w:rsidR="00FC135E" w:rsidRDefault="00A55AD0">
      <w:pPr>
        <w:ind w:firstLine="720"/>
        <w:jc w:val="both"/>
        <w:rPr>
          <w:sz w:val="24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пг2 </w:t>
      </w:r>
      <w:r>
        <w:rPr>
          <w:sz w:val="28"/>
        </w:rPr>
        <w:t xml:space="preserve">- объем услуг года, предшествующего отчетному </w:t>
      </w:r>
      <w:proofErr w:type="gramStart"/>
      <w:r>
        <w:rPr>
          <w:sz w:val="28"/>
        </w:rPr>
        <w:t>финансовому  году</w:t>
      </w:r>
      <w:proofErr w:type="gramEnd"/>
      <w:r>
        <w:rPr>
          <w:sz w:val="28"/>
        </w:rPr>
        <w:t>.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2. Региональный государственный контроль (надзор) в области регулирования цен (тарифов) в сфере теплоснабжения:</w:t>
      </w:r>
    </w:p>
    <w:p w:rsidR="00FC135E" w:rsidRDefault="00A55AD0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>Факт увеличения более чем на 25 процентов выручки контролируемого лица от реализации товаров (работ, услуг) по регулируемым ценам (тарифам) по итогам отчетного финансового года в разрезе  соответствующего вида деятельности по сравнению с годом, предшествующим отчетному финансовому году, при отсутствии факта увеличения более чем на 10 процентов объема оказанных услуг по регулируемому виду деятельности (за исключением случаев, если такой рост обусловлен</w:t>
      </w:r>
      <w:proofErr w:type="gramEnd"/>
      <w:r>
        <w:rPr>
          <w:sz w:val="28"/>
        </w:rPr>
        <w:t xml:space="preserve"> изменением утвержденных регулируемых цен (тарифов)), </w:t>
      </w:r>
      <w:proofErr w:type="gramStart"/>
      <w:r>
        <w:rPr>
          <w:sz w:val="28"/>
        </w:rPr>
        <w:t>рассчитанный</w:t>
      </w:r>
      <w:proofErr w:type="gramEnd"/>
      <w:r>
        <w:rPr>
          <w:sz w:val="28"/>
        </w:rPr>
        <w:t xml:space="preserve"> по формулам:</w:t>
      </w:r>
    </w:p>
    <w:p w:rsidR="00FC135E" w:rsidRDefault="00A55AD0">
      <w:pPr>
        <w:ind w:firstLine="720"/>
        <w:jc w:val="both"/>
      </w:pPr>
      <w:r>
        <w:rPr>
          <w:color w:val="000000"/>
          <w:sz w:val="28"/>
          <w:highlight w:val="white"/>
        </w:rPr>
        <w:lastRenderedPageBreak/>
        <w:t>(ВПг</w:t>
      </w:r>
      <w:proofErr w:type="gramStart"/>
      <w:r>
        <w:rPr>
          <w:color w:val="000000"/>
          <w:sz w:val="28"/>
          <w:highlight w:val="white"/>
        </w:rPr>
        <w:t>1</w:t>
      </w:r>
      <w:proofErr w:type="gramEnd"/>
      <w:r>
        <w:rPr>
          <w:color w:val="000000"/>
          <w:sz w:val="28"/>
          <w:highlight w:val="white"/>
        </w:rPr>
        <w:t>/ ВПг2-1)×100%</w:t>
      </w:r>
      <w:r>
        <w:rPr>
          <w:sz w:val="28"/>
        </w:rPr>
        <w:t>&gt; 25 %,</w:t>
      </w:r>
    </w:p>
    <w:p w:rsidR="00FC135E" w:rsidRDefault="00A55AD0">
      <w:pPr>
        <w:ind w:firstLine="720"/>
        <w:jc w:val="both"/>
      </w:pPr>
      <w:r>
        <w:rPr>
          <w:sz w:val="28"/>
        </w:rPr>
        <w:t xml:space="preserve"> (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пг1  </w:t>
      </w:r>
      <w:r>
        <w:rPr>
          <w:sz w:val="28"/>
        </w:rPr>
        <w:t xml:space="preserve">/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услуг пг2</w:t>
      </w:r>
      <w:proofErr w:type="gramStart"/>
      <w:r>
        <w:rPr>
          <w:sz w:val="28"/>
          <w:vertAlign w:val="subscript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 </w:t>
      </w:r>
      <w:r>
        <w:rPr>
          <w:color w:val="000000"/>
          <w:sz w:val="28"/>
          <w:highlight w:val="white"/>
        </w:rPr>
        <w:t>×</w:t>
      </w:r>
      <w:r>
        <w:rPr>
          <w:sz w:val="28"/>
        </w:rPr>
        <w:t xml:space="preserve"> 100% &lt; 10 %, </w:t>
      </w:r>
    </w:p>
    <w:p w:rsidR="00FC135E" w:rsidRDefault="00A55AD0">
      <w:pPr>
        <w:ind w:firstLine="720"/>
        <w:jc w:val="both"/>
      </w:pPr>
      <w:r>
        <w:rPr>
          <w:sz w:val="28"/>
        </w:rPr>
        <w:t>где:</w:t>
      </w:r>
    </w:p>
    <w:p w:rsidR="00FC135E" w:rsidRDefault="00A55AD0">
      <w:pPr>
        <w:ind w:firstLine="720"/>
        <w:jc w:val="both"/>
      </w:pPr>
      <w:r>
        <w:rPr>
          <w:sz w:val="28"/>
        </w:rPr>
        <w:t>ВПг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выручка отчетного финансового года;</w:t>
      </w:r>
    </w:p>
    <w:p w:rsidR="00FC135E" w:rsidRDefault="00A55AD0">
      <w:pPr>
        <w:ind w:firstLine="720"/>
        <w:jc w:val="both"/>
      </w:pPr>
      <w:r>
        <w:rPr>
          <w:sz w:val="28"/>
        </w:rPr>
        <w:t>ВПг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выручка года, предшествующего отчетному финансовому  году;</w:t>
      </w:r>
    </w:p>
    <w:p w:rsidR="00FC135E" w:rsidRDefault="00A55AD0">
      <w:pPr>
        <w:ind w:firstLine="720"/>
        <w:jc w:val="both"/>
      </w:pPr>
      <w:r>
        <w:rPr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</w:t>
      </w:r>
      <w:proofErr w:type="gramStart"/>
      <w:r>
        <w:rPr>
          <w:sz w:val="28"/>
          <w:vertAlign w:val="subscript"/>
        </w:rPr>
        <w:t xml:space="preserve">пг1  </w:t>
      </w:r>
      <w:r>
        <w:rPr>
          <w:sz w:val="28"/>
        </w:rPr>
        <w:t>-</w:t>
      </w:r>
      <w:proofErr w:type="gramEnd"/>
      <w:r>
        <w:rPr>
          <w:sz w:val="28"/>
        </w:rPr>
        <w:t xml:space="preserve"> объем услуг отчетного финансового года;</w:t>
      </w:r>
    </w:p>
    <w:p w:rsidR="00FC135E" w:rsidRDefault="00A55AD0">
      <w:pPr>
        <w:ind w:firstLine="720"/>
        <w:jc w:val="both"/>
      </w:pPr>
      <w:r>
        <w:rPr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услуг пг2</w:t>
      </w:r>
      <w:r>
        <w:rPr>
          <w:sz w:val="28"/>
        </w:rPr>
        <w:t xml:space="preserve"> - объем услуг года, предшествующего отчетному </w:t>
      </w:r>
      <w:proofErr w:type="gramStart"/>
      <w:r>
        <w:rPr>
          <w:sz w:val="28"/>
        </w:rPr>
        <w:t>финансовому  году</w:t>
      </w:r>
      <w:proofErr w:type="gramEnd"/>
      <w:r>
        <w:rPr>
          <w:sz w:val="28"/>
        </w:rPr>
        <w:t>.</w:t>
      </w:r>
    </w:p>
    <w:p w:rsidR="00FC135E" w:rsidRDefault="00FC135E">
      <w:pPr>
        <w:ind w:firstLine="720"/>
        <w:jc w:val="both"/>
        <w:rPr>
          <w:sz w:val="28"/>
        </w:rPr>
      </w:pP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2.2. </w:t>
      </w:r>
      <w:proofErr w:type="gramStart"/>
      <w:r>
        <w:rPr>
          <w:sz w:val="28"/>
        </w:rPr>
        <w:t>Отсутствие регистрации  контролируемого лица в Федеральной государственной информационной системе «Единая информационно-аналитическая система тарифного регулирования» (ФГИС «ТАРИФ»)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proofErr w:type="spellStart"/>
      <w:r>
        <w:rPr>
          <w:sz w:val="28"/>
          <w:lang w:val="en-US"/>
        </w:rPr>
        <w:t>ri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eias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/) по истечении тридцати дней со дня подачи в Министерство по тарифному регулированию и государственным закупкам Пензенской области (далее - Министерство) заявления об установлении цен (тарифов) в сфере теплоснабжения (для организаций, впервые обратившихся с предложением об установлении регулируемых государством (цен) тарифов).</w:t>
      </w:r>
      <w:proofErr w:type="gramEnd"/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3. Региональный государственный контроль (надзор) в области регулирования тарифов в сфере обращения с твердыми коммунальными отходами:</w:t>
      </w:r>
    </w:p>
    <w:p w:rsidR="00FC135E" w:rsidRDefault="00A55AD0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3.1. </w:t>
      </w:r>
      <w:proofErr w:type="gramStart"/>
      <w:r>
        <w:rPr>
          <w:sz w:val="28"/>
        </w:rPr>
        <w:t>Факт увеличения более чем на 25 процентов выручки контролируемого лица от реализации товаров (работ, услуг) по регулируемым ценам (тарифам) по итогам отчетного финансового года в разрезе  соответствующего вида деятельности по сравнению с годом, предшествующим отчетному финансовому году, при отсутствии факта увеличения более чем на 10 процентов объема оказанных услуг по регулируемому виду деятельности (за исключением случаев, если такой рост обусловлен</w:t>
      </w:r>
      <w:proofErr w:type="gramEnd"/>
      <w:r>
        <w:rPr>
          <w:sz w:val="28"/>
        </w:rPr>
        <w:t xml:space="preserve"> изменением утвержденных регулируемых цен (тарифов)), </w:t>
      </w:r>
      <w:proofErr w:type="gramStart"/>
      <w:r>
        <w:rPr>
          <w:sz w:val="28"/>
        </w:rPr>
        <w:t>рассчитанный</w:t>
      </w:r>
      <w:proofErr w:type="gramEnd"/>
      <w:r>
        <w:rPr>
          <w:sz w:val="28"/>
        </w:rPr>
        <w:t xml:space="preserve"> по формулам:</w:t>
      </w:r>
    </w:p>
    <w:p w:rsidR="00FC135E" w:rsidRDefault="00A55AD0">
      <w:pPr>
        <w:ind w:firstLine="720"/>
        <w:jc w:val="both"/>
      </w:pPr>
      <w:r>
        <w:rPr>
          <w:color w:val="000000"/>
          <w:sz w:val="28"/>
          <w:highlight w:val="white"/>
        </w:rPr>
        <w:t>(ВПг</w:t>
      </w:r>
      <w:proofErr w:type="gramStart"/>
      <w:r>
        <w:rPr>
          <w:color w:val="000000"/>
          <w:sz w:val="28"/>
          <w:highlight w:val="white"/>
        </w:rPr>
        <w:t>1</w:t>
      </w:r>
      <w:proofErr w:type="gramEnd"/>
      <w:r>
        <w:rPr>
          <w:color w:val="000000"/>
          <w:sz w:val="28"/>
          <w:highlight w:val="white"/>
        </w:rPr>
        <w:t>/ ВПг2-1)×100%</w:t>
      </w:r>
      <w:r>
        <w:rPr>
          <w:sz w:val="28"/>
        </w:rPr>
        <w:t>&gt; 25 %,</w:t>
      </w:r>
    </w:p>
    <w:p w:rsidR="00FC135E" w:rsidRDefault="00A55AD0">
      <w:pPr>
        <w:ind w:firstLine="720"/>
        <w:jc w:val="both"/>
      </w:pPr>
      <w:r>
        <w:rPr>
          <w:sz w:val="28"/>
        </w:rPr>
        <w:t xml:space="preserve"> (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пг1  </w:t>
      </w:r>
      <w:r>
        <w:rPr>
          <w:sz w:val="28"/>
        </w:rPr>
        <w:t xml:space="preserve">/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услуг пг2</w:t>
      </w:r>
      <w:proofErr w:type="gramStart"/>
      <w:r>
        <w:rPr>
          <w:sz w:val="28"/>
          <w:vertAlign w:val="subscript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 </w:t>
      </w:r>
      <w:r>
        <w:rPr>
          <w:color w:val="000000"/>
          <w:sz w:val="28"/>
          <w:highlight w:val="white"/>
        </w:rPr>
        <w:t>×</w:t>
      </w:r>
      <w:r>
        <w:rPr>
          <w:sz w:val="28"/>
        </w:rPr>
        <w:t xml:space="preserve"> 100% &lt; 10 % ,</w:t>
      </w:r>
    </w:p>
    <w:p w:rsidR="00FC135E" w:rsidRDefault="00A55AD0">
      <w:pPr>
        <w:ind w:firstLine="720"/>
        <w:jc w:val="both"/>
      </w:pPr>
      <w:r>
        <w:rPr>
          <w:sz w:val="28"/>
        </w:rPr>
        <w:t>где:</w:t>
      </w:r>
    </w:p>
    <w:p w:rsidR="00FC135E" w:rsidRDefault="00A55AD0">
      <w:pPr>
        <w:ind w:firstLine="720"/>
        <w:jc w:val="both"/>
      </w:pPr>
      <w:r>
        <w:rPr>
          <w:sz w:val="28"/>
        </w:rPr>
        <w:t>ВПг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выручка отчетного финансового года;</w:t>
      </w:r>
    </w:p>
    <w:p w:rsidR="00FC135E" w:rsidRDefault="00A55AD0">
      <w:pPr>
        <w:ind w:firstLine="720"/>
        <w:jc w:val="both"/>
      </w:pPr>
      <w:r>
        <w:rPr>
          <w:sz w:val="28"/>
        </w:rPr>
        <w:t>ВПг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выручка года, предшествующего отчетному финансовому  году;</w:t>
      </w:r>
    </w:p>
    <w:p w:rsidR="00FC135E" w:rsidRDefault="00A55AD0">
      <w:pPr>
        <w:ind w:firstLine="720"/>
        <w:jc w:val="both"/>
      </w:pPr>
      <w:r>
        <w:rPr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</w:t>
      </w:r>
      <w:proofErr w:type="gramStart"/>
      <w:r>
        <w:rPr>
          <w:sz w:val="28"/>
          <w:vertAlign w:val="subscript"/>
        </w:rPr>
        <w:t xml:space="preserve">пг1  </w:t>
      </w:r>
      <w:r>
        <w:rPr>
          <w:sz w:val="28"/>
        </w:rPr>
        <w:t>-</w:t>
      </w:r>
      <w:proofErr w:type="gramEnd"/>
      <w:r>
        <w:rPr>
          <w:sz w:val="28"/>
        </w:rPr>
        <w:t xml:space="preserve"> объем услуг отчетного финансового года;</w:t>
      </w:r>
    </w:p>
    <w:p w:rsidR="00FC135E" w:rsidRDefault="00A55AD0">
      <w:pPr>
        <w:ind w:firstLine="720"/>
        <w:jc w:val="both"/>
      </w:pPr>
      <w:r>
        <w:rPr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 xml:space="preserve">услуг пг2 </w:t>
      </w:r>
      <w:r>
        <w:rPr>
          <w:sz w:val="28"/>
        </w:rPr>
        <w:t xml:space="preserve">- объем услуг года, предшествующего отчетному </w:t>
      </w:r>
      <w:proofErr w:type="gramStart"/>
      <w:r>
        <w:rPr>
          <w:sz w:val="28"/>
        </w:rPr>
        <w:t>финансовому  году</w:t>
      </w:r>
      <w:proofErr w:type="gramEnd"/>
      <w:r>
        <w:rPr>
          <w:sz w:val="28"/>
        </w:rPr>
        <w:t>.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4. Региональный государственный контроль (надзор) за установлением и (или) применением регулируемых государством цен (тарифов) в области газоснабжения: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>Отклонение в объеме освоения средств контролируемым лицом более чем на 20% от запланированных в программе газификации Пензенской области, финансирование которой осуществляется за счет средств специальных надбавок к тарифам на транспортировку газа газораспределительными организациями, по итогам отчетного года (на основании представленных газораспределительными организациями документов).</w:t>
      </w:r>
      <w:proofErr w:type="gramEnd"/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5. Региональный государственный контроль (надзор) за регулируемыми государством ценами (тарифами) в электроэнергетике: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5.1. </w:t>
      </w:r>
      <w:proofErr w:type="gramStart"/>
      <w:r>
        <w:rPr>
          <w:sz w:val="28"/>
        </w:rPr>
        <w:t xml:space="preserve">Превышение цены (тарифа), предлагаемой (-ого)  контролируемым лицом в заявлении об установлении цены (тарифов), на очередной период регулирования, над ценой (тарифом), установленной (-ым) Министерством  на предшествующий период регулирования, более чем в </w:t>
      </w:r>
      <w:proofErr w:type="spellStart"/>
      <w:r>
        <w:rPr>
          <w:sz w:val="28"/>
        </w:rPr>
        <w:t>двухкратном</w:t>
      </w:r>
      <w:proofErr w:type="spellEnd"/>
      <w:r>
        <w:rPr>
          <w:sz w:val="28"/>
        </w:rPr>
        <w:t xml:space="preserve"> размере прогнозируемого изменения цен (тарифов) на товары (услуги) контролируемых лиц, осуществляющих регулируемые виды деятельности, определенного в прогнозе социально-экономического развития Российской Федерации на очередной финансовый год и плановый период (за</w:t>
      </w:r>
      <w:proofErr w:type="gramEnd"/>
      <w:r>
        <w:rPr>
          <w:sz w:val="28"/>
        </w:rPr>
        <w:t xml:space="preserve"> исключением случая, если повышение обусловлено реализацией инвестиционной программы, изменением законодательства, изменением у регулируемой организации количества активов более чем на 10 процентов), рассчитанное по формуле: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Ц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&gt; Ц2 </w:t>
      </w:r>
      <w:r>
        <w:rPr>
          <w:color w:val="000000"/>
          <w:sz w:val="28"/>
          <w:highlight w:val="white"/>
        </w:rPr>
        <w:t>×</w:t>
      </w:r>
      <w:r>
        <w:rPr>
          <w:sz w:val="28"/>
        </w:rPr>
        <w:t xml:space="preserve"> 2 </w:t>
      </w:r>
      <w:r>
        <w:rPr>
          <w:color w:val="000000"/>
          <w:sz w:val="28"/>
          <w:highlight w:val="white"/>
        </w:rPr>
        <w:t>×</w:t>
      </w:r>
      <w:r>
        <w:rPr>
          <w:sz w:val="28"/>
        </w:rPr>
        <w:t xml:space="preserve"> </w:t>
      </w:r>
      <w:proofErr w:type="spellStart"/>
      <w:r>
        <w:rPr>
          <w:sz w:val="28"/>
        </w:rPr>
        <w:t>Исэр</w:t>
      </w:r>
      <w:proofErr w:type="spellEnd"/>
      <w:r>
        <w:rPr>
          <w:sz w:val="28"/>
        </w:rPr>
        <w:t>,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где: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Ц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цена, предлагаемая организацией на очередной период регулирования;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Ц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цена, установленная Министерством на предшествующий период регулирования;</w:t>
      </w:r>
    </w:p>
    <w:p w:rsidR="00FC135E" w:rsidRDefault="00A55AD0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Исэр</w:t>
      </w:r>
      <w:proofErr w:type="spellEnd"/>
      <w:r>
        <w:rPr>
          <w:sz w:val="28"/>
        </w:rPr>
        <w:t xml:space="preserve"> - индекс изменения цен согласно прогнозу социально-экономического развития Российской Федерации на очередной финансовый год и плановый период.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6. Региональный государственный контроль (надзор) в области регулирования тарифов в сфере водоснабжения и водоотведения: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6.1. </w:t>
      </w:r>
      <w:proofErr w:type="gramStart"/>
      <w:r>
        <w:rPr>
          <w:sz w:val="28"/>
          <w:highlight w:val="white"/>
        </w:rPr>
        <w:t>Отклонение средневзвешенной расчетной цены, применяемой контролируемым лицом, за предшествующий период регулирования, определенной на основании фактической выручки и объема реализации коммунального ресурса потребителями, опубликованных в Федеральной государственной информационной системе «Единая информационно-аналитическая система тарифного регулирования» (ФГИС «ТАРИФ»), от средневзвешенного тарифа, установленного для контролируемого лица  Министерством на тот же период, на 15 процентов и более, рассчитанное по формулам:</w:t>
      </w:r>
      <w:proofErr w:type="gramEnd"/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(</w:t>
      </w:r>
      <w:proofErr w:type="spellStart"/>
      <w:r>
        <w:rPr>
          <w:sz w:val="28"/>
          <w:highlight w:val="white"/>
        </w:rPr>
        <w:t>СЦф</w:t>
      </w:r>
      <w:proofErr w:type="spellEnd"/>
      <w:r>
        <w:rPr>
          <w:sz w:val="28"/>
          <w:highlight w:val="white"/>
        </w:rPr>
        <w:t xml:space="preserve">/СЦп-1) </w:t>
      </w:r>
      <w:r>
        <w:rPr>
          <w:color w:val="000000"/>
          <w:sz w:val="28"/>
          <w:highlight w:val="white"/>
        </w:rPr>
        <w:t>×</w:t>
      </w:r>
      <w:r>
        <w:rPr>
          <w:sz w:val="28"/>
          <w:highlight w:val="white"/>
        </w:rPr>
        <w:t xml:space="preserve"> 100% &gt; = &lt;15%</w:t>
      </w:r>
      <w:r>
        <w:rPr>
          <w:sz w:val="28"/>
        </w:rPr>
        <w:t>,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СЦф</w:t>
      </w:r>
      <w:proofErr w:type="spellEnd"/>
      <w:r>
        <w:rPr>
          <w:sz w:val="28"/>
          <w:highlight w:val="white"/>
        </w:rPr>
        <w:t xml:space="preserve"> = </w:t>
      </w:r>
      <w:proofErr w:type="spellStart"/>
      <w:r>
        <w:rPr>
          <w:sz w:val="28"/>
          <w:highlight w:val="white"/>
        </w:rPr>
        <w:t>ССф</w:t>
      </w:r>
      <w:proofErr w:type="spellEnd"/>
      <w:r>
        <w:rPr>
          <w:sz w:val="28"/>
          <w:highlight w:val="white"/>
        </w:rPr>
        <w:t>/</w:t>
      </w:r>
      <w:proofErr w:type="spellStart"/>
      <w:r>
        <w:rPr>
          <w:sz w:val="28"/>
          <w:highlight w:val="white"/>
        </w:rPr>
        <w:t>ПОф</w:t>
      </w:r>
      <w:proofErr w:type="spellEnd"/>
      <w:r>
        <w:rPr>
          <w:sz w:val="28"/>
        </w:rPr>
        <w:t>,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  <w:vertAlign w:val="subscript"/>
        </w:rPr>
      </w:pPr>
      <w:proofErr w:type="spellStart"/>
      <w:r>
        <w:rPr>
          <w:sz w:val="28"/>
          <w:highlight w:val="white"/>
        </w:rPr>
        <w:t>СЦп</w:t>
      </w:r>
      <w:proofErr w:type="spellEnd"/>
      <w:r>
        <w:rPr>
          <w:sz w:val="28"/>
          <w:highlight w:val="white"/>
        </w:rPr>
        <w:t xml:space="preserve"> = (</w:t>
      </w:r>
      <w:r>
        <w:rPr>
          <w:sz w:val="28"/>
          <w:highlight w:val="white"/>
          <w:lang w:val="en-US"/>
        </w:rPr>
        <w:t>V</w:t>
      </w:r>
      <w:r>
        <w:rPr>
          <w:sz w:val="28"/>
          <w:highlight w:val="white"/>
          <w:vertAlign w:val="subscript"/>
          <w:lang w:val="en-US"/>
        </w:rPr>
        <w:t>I</w:t>
      </w:r>
      <w:r>
        <w:rPr>
          <w:sz w:val="28"/>
          <w:highlight w:val="white"/>
          <w:vertAlign w:val="subscript"/>
        </w:rPr>
        <w:t xml:space="preserve"> полугодие </w:t>
      </w:r>
      <w:r>
        <w:rPr>
          <w:sz w:val="28"/>
          <w:highlight w:val="white"/>
        </w:rPr>
        <w:t>х Т</w:t>
      </w:r>
      <w:proofErr w:type="gramStart"/>
      <w:r>
        <w:rPr>
          <w:sz w:val="28"/>
          <w:highlight w:val="white"/>
        </w:rPr>
        <w:t>1</w:t>
      </w:r>
      <w:proofErr w:type="gramEnd"/>
      <w:r>
        <w:rPr>
          <w:sz w:val="28"/>
          <w:highlight w:val="white"/>
        </w:rPr>
        <w:t>+</w:t>
      </w:r>
      <w:r>
        <w:rPr>
          <w:sz w:val="28"/>
          <w:highlight w:val="white"/>
          <w:lang w:val="en-US"/>
        </w:rPr>
        <w:t>V</w:t>
      </w:r>
      <w:r>
        <w:rPr>
          <w:sz w:val="28"/>
          <w:highlight w:val="white"/>
          <w:vertAlign w:val="subscript"/>
          <w:lang w:val="en-US"/>
        </w:rPr>
        <w:t>II</w:t>
      </w:r>
      <w:r>
        <w:rPr>
          <w:sz w:val="28"/>
          <w:highlight w:val="white"/>
          <w:vertAlign w:val="subscript"/>
        </w:rPr>
        <w:t xml:space="preserve"> полугодие </w:t>
      </w:r>
      <w:r>
        <w:rPr>
          <w:sz w:val="28"/>
          <w:highlight w:val="white"/>
        </w:rPr>
        <w:t>х Т2)/</w:t>
      </w:r>
      <w:r>
        <w:rPr>
          <w:sz w:val="28"/>
          <w:highlight w:val="white"/>
          <w:lang w:val="en-US"/>
        </w:rPr>
        <w:t>V</w:t>
      </w:r>
      <w:r>
        <w:rPr>
          <w:sz w:val="28"/>
          <w:highlight w:val="white"/>
          <w:vertAlign w:val="subscript"/>
        </w:rPr>
        <w:t>год</w:t>
      </w:r>
      <w:r>
        <w:rPr>
          <w:sz w:val="28"/>
        </w:rPr>
        <w:t>,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где: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СЦф</w:t>
      </w:r>
      <w:proofErr w:type="spellEnd"/>
      <w:r>
        <w:rPr>
          <w:sz w:val="28"/>
          <w:highlight w:val="white"/>
        </w:rPr>
        <w:t xml:space="preserve"> - средневзвешенная расчетная цена за предшествующий период регулирования;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СЦп</w:t>
      </w:r>
      <w:proofErr w:type="spellEnd"/>
      <w:r>
        <w:rPr>
          <w:sz w:val="28"/>
          <w:highlight w:val="white"/>
        </w:rPr>
        <w:t xml:space="preserve"> - средневзвешенный тариф, установленный Министерством на предшествующий период;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ССф</w:t>
      </w:r>
      <w:proofErr w:type="spellEnd"/>
      <w:r>
        <w:rPr>
          <w:sz w:val="28"/>
          <w:highlight w:val="white"/>
        </w:rPr>
        <w:t xml:space="preserve"> - фактическая выручка;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ПОф</w:t>
      </w:r>
      <w:proofErr w:type="spellEnd"/>
      <w:r>
        <w:rPr>
          <w:sz w:val="28"/>
          <w:highlight w:val="white"/>
        </w:rPr>
        <w:t xml:space="preserve"> - фактический объем реализации коммунального ресурса потребителям;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  <w:lang w:val="en-US"/>
        </w:rPr>
        <w:t>V</w:t>
      </w:r>
      <w:r>
        <w:rPr>
          <w:sz w:val="28"/>
          <w:highlight w:val="white"/>
          <w:vertAlign w:val="subscript"/>
          <w:lang w:val="en-US"/>
        </w:rPr>
        <w:t>I</w:t>
      </w:r>
      <w:r>
        <w:rPr>
          <w:sz w:val="28"/>
          <w:highlight w:val="white"/>
          <w:vertAlign w:val="subscript"/>
        </w:rPr>
        <w:t xml:space="preserve"> полугодие </w:t>
      </w:r>
      <w:r>
        <w:rPr>
          <w:sz w:val="28"/>
          <w:highlight w:val="white"/>
        </w:rPr>
        <w:t>- плановый объем на 1 полугодие предшествующего периода;</w:t>
      </w:r>
    </w:p>
    <w:p w:rsidR="00FC135E" w:rsidRDefault="00A55AD0">
      <w:pPr>
        <w:shd w:val="clear" w:color="FFFFFF" w:fill="FFFFFF" w:themeFill="background1"/>
        <w:ind w:firstLine="720"/>
        <w:jc w:val="both"/>
        <w:rPr>
          <w:sz w:val="28"/>
        </w:rPr>
      </w:pPr>
      <w:r>
        <w:rPr>
          <w:sz w:val="28"/>
          <w:highlight w:val="white"/>
          <w:lang w:val="en-US"/>
        </w:rPr>
        <w:t>V</w:t>
      </w:r>
      <w:r>
        <w:rPr>
          <w:sz w:val="28"/>
          <w:highlight w:val="white"/>
          <w:vertAlign w:val="subscript"/>
          <w:lang w:val="en-US"/>
        </w:rPr>
        <w:t>II</w:t>
      </w:r>
      <w:r>
        <w:rPr>
          <w:sz w:val="28"/>
          <w:highlight w:val="white"/>
          <w:vertAlign w:val="subscript"/>
        </w:rPr>
        <w:t xml:space="preserve"> полугодие </w:t>
      </w:r>
      <w:r>
        <w:rPr>
          <w:sz w:val="28"/>
          <w:highlight w:val="white"/>
        </w:rPr>
        <w:t>- плановый объем на 2 полугодие предшествующего периода;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 Т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тариф, установленный Министерством на 1 полугодие  </w:t>
      </w:r>
      <w:r>
        <w:rPr>
          <w:sz w:val="28"/>
          <w:highlight w:val="white"/>
        </w:rPr>
        <w:t>предшествующего</w:t>
      </w:r>
      <w:r>
        <w:rPr>
          <w:sz w:val="28"/>
        </w:rPr>
        <w:t xml:space="preserve"> периода;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 Т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тариф, установленный Министерством на 2 полугодие  </w:t>
      </w:r>
      <w:r>
        <w:rPr>
          <w:sz w:val="28"/>
          <w:highlight w:val="white"/>
        </w:rPr>
        <w:t>предшествующего</w:t>
      </w:r>
      <w:r>
        <w:rPr>
          <w:sz w:val="28"/>
        </w:rPr>
        <w:t xml:space="preserve">  периода.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6.2. </w:t>
      </w:r>
      <w:proofErr w:type="gramStart"/>
      <w:r>
        <w:rPr>
          <w:sz w:val="28"/>
        </w:rPr>
        <w:t>Отсутствие регистрации  контролируемого лица в Федеральной государственной информационной системе «Единая информационно-аналитическая система тарифного регулирования» (ФГИС «ТАРИФ») (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proofErr w:type="spellStart"/>
      <w:r>
        <w:rPr>
          <w:sz w:val="28"/>
          <w:lang w:val="en-US"/>
        </w:rPr>
        <w:t>ri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eias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/) по истечении тридцати дней со дня подачи в Министерство заявления об установлении цен (тарифов) в сфере водоснабжения и водоотведения (для организаций, впервые обратившихся с предложением об установлении регулируемых государством цен (тарифов)).</w:t>
      </w:r>
      <w:proofErr w:type="gramEnd"/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>7.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носителе:</w:t>
      </w:r>
    </w:p>
    <w:p w:rsidR="00FC135E" w:rsidRDefault="00A55AD0">
      <w:pPr>
        <w:ind w:firstLine="720"/>
        <w:jc w:val="both"/>
        <w:rPr>
          <w:sz w:val="28"/>
        </w:rPr>
      </w:pPr>
      <w:r>
        <w:rPr>
          <w:sz w:val="28"/>
        </w:rPr>
        <w:t xml:space="preserve">7.1. </w:t>
      </w:r>
      <w:proofErr w:type="gramStart"/>
      <w:r>
        <w:rPr>
          <w:sz w:val="28"/>
        </w:rPr>
        <w:t>Выявление Министерством при осуществлении наблюдения за соблюдением обязательных требований трех и более фактов отсутствия в течение двух месяцев подряд на официальном сайте оператора технического осмотра в информационно-телекоммуникационной сети «Интернет», ссылка на который размещена на сайте Российского союза автостраховщиков (РСА) в разделе «Сведения из реестра операторов технического осмотра», информации об установленных оператором технического осмотра размерах платы за проведение технического осмотра транспортных</w:t>
      </w:r>
      <w:proofErr w:type="gramEnd"/>
      <w:r>
        <w:rPr>
          <w:sz w:val="28"/>
        </w:rPr>
        <w:t xml:space="preserve"> средств, повторное проведение технического осмотра транспортных средств, выдачу дубликата диагностической карты</w:t>
      </w:r>
      <w:proofErr w:type="gramStart"/>
      <w:r>
        <w:rPr>
          <w:sz w:val="28"/>
        </w:rPr>
        <w:t>.».</w:t>
      </w:r>
      <w:proofErr w:type="gramEnd"/>
    </w:p>
    <w:p w:rsidR="00FC135E" w:rsidRDefault="00FC135E">
      <w:pPr>
        <w:ind w:firstLine="720"/>
        <w:jc w:val="both"/>
        <w:rPr>
          <w:sz w:val="28"/>
        </w:rPr>
      </w:pPr>
    </w:p>
    <w:p w:rsidR="00FC135E" w:rsidRDefault="00FC135E">
      <w:pPr>
        <w:ind w:firstLine="720"/>
        <w:jc w:val="both"/>
        <w:rPr>
          <w:sz w:val="28"/>
        </w:rPr>
      </w:pPr>
    </w:p>
    <w:p w:rsidR="00FC135E" w:rsidRDefault="00FC135E">
      <w:pPr>
        <w:jc w:val="center"/>
      </w:pPr>
    </w:p>
    <w:p w:rsidR="00FC135E" w:rsidRDefault="00FC135E">
      <w:pPr>
        <w:ind w:firstLine="720"/>
        <w:jc w:val="both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FC135E">
      <w:pPr>
        <w:jc w:val="right"/>
        <w:rPr>
          <w:sz w:val="28"/>
          <w:szCs w:val="28"/>
        </w:rPr>
      </w:pP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Пензенской области</w:t>
      </w: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 № _________</w:t>
      </w:r>
    </w:p>
    <w:p w:rsidR="00FC135E" w:rsidRDefault="00FC135E">
      <w:pPr>
        <w:jc w:val="right"/>
        <w:rPr>
          <w:sz w:val="28"/>
          <w:szCs w:val="28"/>
        </w:rPr>
      </w:pP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Пензенской области</w:t>
      </w:r>
    </w:p>
    <w:p w:rsidR="00FC135E" w:rsidRDefault="00A55AD0">
      <w:pPr>
        <w:jc w:val="right"/>
        <w:rPr>
          <w:sz w:val="28"/>
          <w:szCs w:val="28"/>
        </w:rPr>
      </w:pPr>
      <w:r>
        <w:rPr>
          <w:sz w:val="28"/>
          <w:szCs w:val="28"/>
        </w:rPr>
        <w:t>от 14.06.2022 № 460-пП</w:t>
      </w:r>
    </w:p>
    <w:p w:rsidR="00FC135E" w:rsidRDefault="00FC135E">
      <w:pPr>
        <w:jc w:val="right"/>
        <w:rPr>
          <w:sz w:val="28"/>
          <w:szCs w:val="28"/>
        </w:rPr>
      </w:pPr>
    </w:p>
    <w:p w:rsidR="00FC135E" w:rsidRDefault="00A55AD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индикаторов риска нарушения обязательных требований </w:t>
      </w:r>
    </w:p>
    <w:p w:rsidR="00FC135E" w:rsidRDefault="00FC135E">
      <w:pPr>
        <w:jc w:val="center"/>
        <w:rPr>
          <w:b/>
          <w:sz w:val="28"/>
          <w:szCs w:val="28"/>
        </w:rPr>
      </w:pPr>
    </w:p>
    <w:p w:rsidR="00FC135E" w:rsidRDefault="00A55A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Региональный государственный контроль (</w:t>
      </w:r>
      <w:proofErr w:type="gramStart"/>
      <w:r>
        <w:rPr>
          <w:sz w:val="28"/>
        </w:rPr>
        <w:t>надзоре</w:t>
      </w:r>
      <w:proofErr w:type="gramEnd"/>
      <w:r>
        <w:rPr>
          <w:sz w:val="28"/>
        </w:rPr>
        <w:t>) за применением цен на лекарственные препараты, включенные в перечень жизненно необходимых и важнейших лекарственных препаратов:</w:t>
      </w:r>
    </w:p>
    <w:p w:rsidR="00FC135E" w:rsidRDefault="00A55AD0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Превышение контролируемым лицом более чем в </w:t>
      </w:r>
      <w:proofErr w:type="spellStart"/>
      <w:r>
        <w:rPr>
          <w:sz w:val="28"/>
        </w:rPr>
        <w:t>двухкратном</w:t>
      </w:r>
      <w:proofErr w:type="spellEnd"/>
      <w:r>
        <w:rPr>
          <w:sz w:val="28"/>
        </w:rPr>
        <w:t xml:space="preserve"> размере прогнозируемой валовой прибыли от реализации лекарственных препаратов, включенных в перечень жизненно необходимых и важнейших лекарственных препаратов, в текущем году над валовой прибылью от реализации лекарственных препаратов, включенных в перечень жизненно необходимых и важнейших лекарственных препаратов, в предшествующем году, в информации, представляемой контролируемым лицом в Министерство в формате заполненных электронных шаблонов федеральной государственной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информационной системе «Единая информационно-аналитическая система тарифного регулирования» (ФГИС «ТАРИФ»), при отсутствии увеличения более чем на 5 процентов прогнозируемого валового объема лекарственных препаратов, включенных в перечень жизненно необходимых и важнейших лекарственных препаратов, в текущем году по сравнению с валовым объемом лекарственных препаратов, включенных в перечень жизненно необходимых и важнейших лекарственных препаратов, в предшествующем году.».</w:t>
      </w:r>
      <w:proofErr w:type="gramEnd"/>
    </w:p>
    <w:sectPr w:rsidR="00FC135E">
      <w:endnotePr>
        <w:numFmt w:val="decimal"/>
      </w:endnotePr>
      <w:pgSz w:w="11907" w:h="16840"/>
      <w:pgMar w:top="1134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5E" w:rsidRDefault="00A55AD0">
      <w:r>
        <w:separator/>
      </w:r>
    </w:p>
  </w:endnote>
  <w:endnote w:type="continuationSeparator" w:id="0">
    <w:p w:rsidR="00FC135E" w:rsidRDefault="00A5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5E" w:rsidRDefault="00A55AD0">
      <w:r>
        <w:separator/>
      </w:r>
    </w:p>
  </w:footnote>
  <w:footnote w:type="continuationSeparator" w:id="0">
    <w:p w:rsidR="00FC135E" w:rsidRDefault="00A5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E45"/>
    <w:multiLevelType w:val="hybridMultilevel"/>
    <w:tmpl w:val="6EE6CF78"/>
    <w:lvl w:ilvl="0" w:tplc="AF26F248">
      <w:start w:val="1"/>
      <w:numFmt w:val="decimal"/>
      <w:lvlText w:val="%1."/>
      <w:lvlJc w:val="left"/>
    </w:lvl>
    <w:lvl w:ilvl="1" w:tplc="75A6E58E">
      <w:start w:val="1"/>
      <w:numFmt w:val="lowerLetter"/>
      <w:lvlText w:val="%2."/>
      <w:lvlJc w:val="left"/>
      <w:pPr>
        <w:ind w:left="1440" w:hanging="360"/>
      </w:pPr>
    </w:lvl>
    <w:lvl w:ilvl="2" w:tplc="FD0AFC40">
      <w:start w:val="1"/>
      <w:numFmt w:val="lowerRoman"/>
      <w:lvlText w:val="%3."/>
      <w:lvlJc w:val="right"/>
      <w:pPr>
        <w:ind w:left="2160" w:hanging="180"/>
      </w:pPr>
    </w:lvl>
    <w:lvl w:ilvl="3" w:tplc="D636898E">
      <w:start w:val="1"/>
      <w:numFmt w:val="decimal"/>
      <w:lvlText w:val="%4."/>
      <w:lvlJc w:val="left"/>
      <w:pPr>
        <w:ind w:left="2880" w:hanging="360"/>
      </w:pPr>
    </w:lvl>
    <w:lvl w:ilvl="4" w:tplc="B004363E">
      <w:start w:val="1"/>
      <w:numFmt w:val="lowerLetter"/>
      <w:lvlText w:val="%5."/>
      <w:lvlJc w:val="left"/>
      <w:pPr>
        <w:ind w:left="3600" w:hanging="360"/>
      </w:pPr>
    </w:lvl>
    <w:lvl w:ilvl="5" w:tplc="60F05444">
      <w:start w:val="1"/>
      <w:numFmt w:val="lowerRoman"/>
      <w:lvlText w:val="%6."/>
      <w:lvlJc w:val="right"/>
      <w:pPr>
        <w:ind w:left="4320" w:hanging="180"/>
      </w:pPr>
    </w:lvl>
    <w:lvl w:ilvl="6" w:tplc="38E40A8A">
      <w:start w:val="1"/>
      <w:numFmt w:val="decimal"/>
      <w:lvlText w:val="%7."/>
      <w:lvlJc w:val="left"/>
      <w:pPr>
        <w:ind w:left="5040" w:hanging="360"/>
      </w:pPr>
    </w:lvl>
    <w:lvl w:ilvl="7" w:tplc="A90C9DBE">
      <w:start w:val="1"/>
      <w:numFmt w:val="lowerLetter"/>
      <w:lvlText w:val="%8."/>
      <w:lvlJc w:val="left"/>
      <w:pPr>
        <w:ind w:left="5760" w:hanging="360"/>
      </w:pPr>
    </w:lvl>
    <w:lvl w:ilvl="8" w:tplc="0D04CAB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4F18"/>
    <w:multiLevelType w:val="multilevel"/>
    <w:tmpl w:val="285A56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F743A"/>
    <w:multiLevelType w:val="hybridMultilevel"/>
    <w:tmpl w:val="68E24812"/>
    <w:lvl w:ilvl="0" w:tplc="55EEFA14">
      <w:start w:val="1"/>
      <w:numFmt w:val="decimal"/>
      <w:lvlText w:val="%1."/>
      <w:lvlJc w:val="left"/>
    </w:lvl>
    <w:lvl w:ilvl="1" w:tplc="832E0FFA">
      <w:start w:val="1"/>
      <w:numFmt w:val="lowerLetter"/>
      <w:lvlText w:val="%2."/>
      <w:lvlJc w:val="left"/>
      <w:pPr>
        <w:ind w:left="1440" w:hanging="360"/>
      </w:pPr>
    </w:lvl>
    <w:lvl w:ilvl="2" w:tplc="5CF80AF2">
      <w:start w:val="1"/>
      <w:numFmt w:val="lowerRoman"/>
      <w:lvlText w:val="%3."/>
      <w:lvlJc w:val="right"/>
      <w:pPr>
        <w:ind w:left="2160" w:hanging="180"/>
      </w:pPr>
    </w:lvl>
    <w:lvl w:ilvl="3" w:tplc="60F86F8C">
      <w:start w:val="1"/>
      <w:numFmt w:val="decimal"/>
      <w:lvlText w:val="%4."/>
      <w:lvlJc w:val="left"/>
      <w:pPr>
        <w:ind w:left="2880" w:hanging="360"/>
      </w:pPr>
    </w:lvl>
    <w:lvl w:ilvl="4" w:tplc="E6C253D4">
      <w:start w:val="1"/>
      <w:numFmt w:val="lowerLetter"/>
      <w:lvlText w:val="%5."/>
      <w:lvlJc w:val="left"/>
      <w:pPr>
        <w:ind w:left="3600" w:hanging="360"/>
      </w:pPr>
    </w:lvl>
    <w:lvl w:ilvl="5" w:tplc="6D90B0D0">
      <w:start w:val="1"/>
      <w:numFmt w:val="lowerRoman"/>
      <w:lvlText w:val="%6."/>
      <w:lvlJc w:val="right"/>
      <w:pPr>
        <w:ind w:left="4320" w:hanging="180"/>
      </w:pPr>
    </w:lvl>
    <w:lvl w:ilvl="6" w:tplc="D2EA0F48">
      <w:start w:val="1"/>
      <w:numFmt w:val="decimal"/>
      <w:lvlText w:val="%7."/>
      <w:lvlJc w:val="left"/>
      <w:pPr>
        <w:ind w:left="5040" w:hanging="360"/>
      </w:pPr>
    </w:lvl>
    <w:lvl w:ilvl="7" w:tplc="928EE476">
      <w:start w:val="1"/>
      <w:numFmt w:val="lowerLetter"/>
      <w:lvlText w:val="%8."/>
      <w:lvlJc w:val="left"/>
      <w:pPr>
        <w:ind w:left="5760" w:hanging="360"/>
      </w:pPr>
    </w:lvl>
    <w:lvl w:ilvl="8" w:tplc="275435D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704F"/>
    <w:multiLevelType w:val="multilevel"/>
    <w:tmpl w:val="0250275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5E"/>
    <w:rsid w:val="006F6566"/>
    <w:rsid w:val="00A55AD0"/>
    <w:rsid w:val="00AD5FDC"/>
    <w:rsid w:val="00F25AE1"/>
    <w:rsid w:val="00F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2026-06-03T14:26:00Z</cp:lastPrinted>
  <dcterms:created xsi:type="dcterms:W3CDTF">2026-01-23T09:09:00Z</dcterms:created>
  <dcterms:modified xsi:type="dcterms:W3CDTF">2026-06-03T14:28:00Z</dcterms:modified>
</cp:coreProperties>
</file>