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10A" w:rsidRDefault="0079010A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79010A" w:rsidRDefault="0079010A">
      <w:pPr>
        <w:pStyle w:val="ConsPlusNormal"/>
        <w:jc w:val="both"/>
        <w:outlineLvl w:val="0"/>
      </w:pPr>
    </w:p>
    <w:p w:rsidR="0079010A" w:rsidRDefault="0079010A">
      <w:pPr>
        <w:pStyle w:val="ConsPlusTitle"/>
        <w:jc w:val="center"/>
        <w:outlineLvl w:val="0"/>
      </w:pPr>
      <w:r>
        <w:t>УПРАВЛЕНИЕ ПО РЕГУЛИРОВАНИЮ ТАРИФОВ И ЭНЕРГОСБЕРЕЖЕНИЮ</w:t>
      </w:r>
    </w:p>
    <w:p w:rsidR="0079010A" w:rsidRDefault="0079010A">
      <w:pPr>
        <w:pStyle w:val="ConsPlusTitle"/>
        <w:jc w:val="center"/>
      </w:pPr>
      <w:r>
        <w:t>ПЕНЗЕНСКОЙ ОБЛАСТИ</w:t>
      </w:r>
    </w:p>
    <w:p w:rsidR="0079010A" w:rsidRDefault="0079010A">
      <w:pPr>
        <w:pStyle w:val="ConsPlusTitle"/>
        <w:jc w:val="both"/>
      </w:pPr>
    </w:p>
    <w:p w:rsidR="0079010A" w:rsidRDefault="0079010A">
      <w:pPr>
        <w:pStyle w:val="ConsPlusTitle"/>
        <w:jc w:val="center"/>
      </w:pPr>
      <w:r>
        <w:t>ПРИКАЗ</w:t>
      </w:r>
    </w:p>
    <w:p w:rsidR="0079010A" w:rsidRDefault="0079010A">
      <w:pPr>
        <w:pStyle w:val="ConsPlusTitle"/>
        <w:jc w:val="center"/>
      </w:pPr>
      <w:r>
        <w:t>от 30 декабря 2020 г. N 223</w:t>
      </w:r>
    </w:p>
    <w:p w:rsidR="0079010A" w:rsidRDefault="0079010A">
      <w:pPr>
        <w:pStyle w:val="ConsPlusTitle"/>
        <w:jc w:val="both"/>
      </w:pPr>
    </w:p>
    <w:p w:rsidR="0079010A" w:rsidRDefault="0079010A">
      <w:pPr>
        <w:pStyle w:val="ConsPlusTitle"/>
        <w:jc w:val="center"/>
      </w:pPr>
      <w:r>
        <w:t>ОБ УСТАНОВЛЕНИИ СТАНДАРТИЗИРОВАННЫХ ТАРИФНЫХ СТАВОК,</w:t>
      </w:r>
    </w:p>
    <w:p w:rsidR="0079010A" w:rsidRDefault="0079010A">
      <w:pPr>
        <w:pStyle w:val="ConsPlusTitle"/>
        <w:jc w:val="center"/>
      </w:pPr>
      <w:r>
        <w:t>СТАВОК ЗА ЕДИНИЦУ МАКСИМАЛЬНОЙ МОЩНОСТИ И ФОРМУЛ ПЛАТЫ</w:t>
      </w:r>
    </w:p>
    <w:p w:rsidR="0079010A" w:rsidRDefault="0079010A">
      <w:pPr>
        <w:pStyle w:val="ConsPlusTitle"/>
        <w:jc w:val="center"/>
      </w:pPr>
      <w:r>
        <w:t>ЗА ТЕХНОЛОГИЧЕСКОЕ ПРИСОЕДИНЕНИЕ К ЭЛЕКТРИЧЕСКИМ СЕТЯМ</w:t>
      </w:r>
    </w:p>
    <w:p w:rsidR="0079010A" w:rsidRDefault="0079010A">
      <w:pPr>
        <w:pStyle w:val="ConsPlusTitle"/>
        <w:jc w:val="center"/>
      </w:pPr>
      <w:r>
        <w:t>ТЕРРИТОРИАЛЬНЫХ СЕТЕВЫХ ОРГАНИЗАЦИЙ НА ТЕРРИТОРИИ</w:t>
      </w:r>
    </w:p>
    <w:p w:rsidR="0079010A" w:rsidRDefault="0079010A">
      <w:pPr>
        <w:pStyle w:val="ConsPlusTitle"/>
        <w:jc w:val="center"/>
      </w:pPr>
      <w:r>
        <w:t>ПЕНЗЕНСКОЙ ОБЛАСТИ</w:t>
      </w:r>
    </w:p>
    <w:p w:rsidR="0079010A" w:rsidRDefault="0079010A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9010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9010A" w:rsidRDefault="0079010A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9010A" w:rsidRDefault="0079010A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9010A" w:rsidRDefault="0079010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9010A" w:rsidRDefault="0079010A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Управления по регулированию тарифов и энергосбережению</w:t>
            </w:r>
          </w:p>
          <w:p w:rsidR="0079010A" w:rsidRDefault="0079010A">
            <w:pPr>
              <w:pStyle w:val="ConsPlusNormal"/>
              <w:jc w:val="center"/>
            </w:pPr>
            <w:r>
              <w:rPr>
                <w:color w:val="392C69"/>
              </w:rPr>
              <w:t xml:space="preserve">Пензенской обл. от 10.03.2021 </w:t>
            </w:r>
            <w:hyperlink r:id="rId6" w:history="1">
              <w:r>
                <w:rPr>
                  <w:color w:val="0000FF"/>
                </w:rPr>
                <w:t>N 14</w:t>
              </w:r>
            </w:hyperlink>
            <w:r>
              <w:rPr>
                <w:color w:val="392C69"/>
              </w:rPr>
              <w:t xml:space="preserve">, от 19.03.2021 </w:t>
            </w:r>
            <w:hyperlink r:id="rId7" w:history="1">
              <w:r>
                <w:rPr>
                  <w:color w:val="0000FF"/>
                </w:rPr>
                <w:t>N 16</w:t>
              </w:r>
            </w:hyperlink>
            <w:r>
              <w:rPr>
                <w:color w:val="392C69"/>
              </w:rPr>
              <w:t xml:space="preserve">, от 16.04.2021 </w:t>
            </w:r>
            <w:hyperlink r:id="rId8" w:history="1">
              <w:r>
                <w:rPr>
                  <w:color w:val="0000FF"/>
                </w:rPr>
                <w:t>N 21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9010A" w:rsidRDefault="0079010A"/>
        </w:tc>
      </w:tr>
    </w:tbl>
    <w:p w:rsidR="0079010A" w:rsidRDefault="0079010A">
      <w:pPr>
        <w:pStyle w:val="ConsPlusNormal"/>
        <w:jc w:val="both"/>
      </w:pPr>
    </w:p>
    <w:p w:rsidR="0079010A" w:rsidRDefault="0079010A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26.03.2003 N 35-ФЗ "Об электроэнергетике" (с последующими изменениями),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29.12.2011 N 1178 "О ценообразовании в области регулируемых цен (тарифов) в электроэнергетике" (с последующими изменениями), </w:t>
      </w:r>
      <w:hyperlink r:id="rId11" w:history="1">
        <w:r>
          <w:rPr>
            <w:color w:val="0000FF"/>
          </w:rPr>
          <w:t>Правилами</w:t>
        </w:r>
      </w:hyperlink>
      <w:r>
        <w:t xml:space="preserve">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утвержденными постановлением Правительства Российской Федерации от 27.12.2004 N 861 (с последующими изменениями), Методическими </w:t>
      </w:r>
      <w:hyperlink r:id="rId12" w:history="1">
        <w:r>
          <w:rPr>
            <w:color w:val="0000FF"/>
          </w:rPr>
          <w:t>указаниями</w:t>
        </w:r>
      </w:hyperlink>
      <w:r>
        <w:t xml:space="preserve"> по определению размера платы за технологическое присоединение к электрическим сетям, утвержденными приказом Федеральной антимонопольной службы России от 29.08.2017 N 1135/17 (с последующими изменениями), </w:t>
      </w:r>
      <w:hyperlink r:id="rId13" w:history="1">
        <w:r>
          <w:rPr>
            <w:color w:val="0000FF"/>
          </w:rPr>
          <w:t>Положением</w:t>
        </w:r>
      </w:hyperlink>
      <w:r>
        <w:t xml:space="preserve"> об Управлении по регулированию тарифов и энергосбережению Пензенской области, утвержденным постановлением Правительства Пензенской области от 04.08.2010 N 440-пП (с последующими изменениями), на основании протокола заседания Правления Управления по регулированию тарифов и энергосбережению Пензенской области от 30.12.2020 N 126 приказываю: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 xml:space="preserve">1. Установить и ввести в действие с 1 января 2021 года по 31 декабря 2021 года стандартизированные тарифные </w:t>
      </w:r>
      <w:hyperlink w:anchor="P39" w:history="1">
        <w:r>
          <w:rPr>
            <w:color w:val="0000FF"/>
          </w:rPr>
          <w:t>ставки</w:t>
        </w:r>
      </w:hyperlink>
      <w:r>
        <w:t xml:space="preserve"> для определения платы за технологическое присоединение энергопринимающих устройств потребителей к электрическим сетям территориальных сетевых организаций на территории Пензенской области согласно Приложению N 1 к настоящему приказу.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 xml:space="preserve">2. Установить и ввести в действие с 1 января 2021 года по 31 декабря 2021 года </w:t>
      </w:r>
      <w:hyperlink w:anchor="P666" w:history="1">
        <w:r>
          <w:rPr>
            <w:color w:val="0000FF"/>
          </w:rPr>
          <w:t>ставки</w:t>
        </w:r>
      </w:hyperlink>
      <w:r>
        <w:t xml:space="preserve"> за единицу максимальной мощности для определения размера платы за технологическое присоединение энергопринимающих устройств максимальной мощностью менее 670 кВт и на уровне напряжения 20 кВ и менее к электрическим сетям территориальных сетевых организаций на территории Пензенской области согласно Приложению N 2 к настоящему приказу.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>3. Установить с 1 января 2021 года по 31 декабря 2021 года стандартизированные тарифные ставки С</w:t>
      </w:r>
      <w:r>
        <w:rPr>
          <w:vertAlign w:val="subscript"/>
        </w:rPr>
        <w:t>2</w:t>
      </w:r>
      <w:r>
        <w:t>, С</w:t>
      </w:r>
      <w:r>
        <w:rPr>
          <w:vertAlign w:val="subscript"/>
        </w:rPr>
        <w:t>3</w:t>
      </w:r>
      <w:r>
        <w:t>, С</w:t>
      </w:r>
      <w:r>
        <w:rPr>
          <w:vertAlign w:val="subscript"/>
        </w:rPr>
        <w:t>4</w:t>
      </w:r>
      <w:r>
        <w:t>, С</w:t>
      </w:r>
      <w:r>
        <w:rPr>
          <w:vertAlign w:val="subscript"/>
        </w:rPr>
        <w:t>5</w:t>
      </w:r>
      <w:r>
        <w:t>, С</w:t>
      </w:r>
      <w:r>
        <w:rPr>
          <w:vertAlign w:val="subscript"/>
        </w:rPr>
        <w:t>6</w:t>
      </w:r>
      <w:r>
        <w:t>, С</w:t>
      </w:r>
      <w:r>
        <w:rPr>
          <w:vertAlign w:val="subscript"/>
        </w:rPr>
        <w:t>7</w:t>
      </w:r>
      <w:r>
        <w:t xml:space="preserve"> и ставки за единицу максимальной мощности </w:t>
      </w:r>
      <w:r w:rsidRPr="00A322AC">
        <w:rPr>
          <w:position w:val="-9"/>
        </w:rPr>
        <w:pict>
          <v:shape id="_x0000_i1025" style="width:32.25pt;height:21pt" coordsize="" o:spt="100" adj="0,,0" path="" filled="f" stroked="f">
            <v:stroke joinstyle="miter"/>
            <v:imagedata r:id="rId14" o:title="base_23573_158958_32768"/>
            <v:formulas/>
            <v:path o:connecttype="segments"/>
          </v:shape>
        </w:pict>
      </w:r>
      <w:r>
        <w:t xml:space="preserve">, </w:t>
      </w:r>
      <w:r w:rsidRPr="00A322AC">
        <w:rPr>
          <w:position w:val="-9"/>
        </w:rPr>
        <w:pict>
          <v:shape id="_x0000_i1026" style="width:32.25pt;height:21pt" coordsize="" o:spt="100" adj="0,,0" path="" filled="f" stroked="f">
            <v:stroke joinstyle="miter"/>
            <v:imagedata r:id="rId15" o:title="base_23573_158958_32769"/>
            <v:formulas/>
            <v:path o:connecttype="segments"/>
          </v:shape>
        </w:pict>
      </w:r>
      <w:r>
        <w:t xml:space="preserve">, </w:t>
      </w:r>
      <w:r w:rsidRPr="00A322AC">
        <w:rPr>
          <w:position w:val="-9"/>
        </w:rPr>
        <w:pict>
          <v:shape id="_x0000_i1027" style="width:32.25pt;height:21pt" coordsize="" o:spt="100" adj="0,,0" path="" filled="f" stroked="f">
            <v:stroke joinstyle="miter"/>
            <v:imagedata r:id="rId16" o:title="base_23573_158958_32770"/>
            <v:formulas/>
            <v:path o:connecttype="segments"/>
          </v:shape>
        </w:pict>
      </w:r>
      <w:r>
        <w:t xml:space="preserve">, </w:t>
      </w:r>
      <w:r w:rsidRPr="00A322AC">
        <w:rPr>
          <w:position w:val="-9"/>
        </w:rPr>
        <w:pict>
          <v:shape id="_x0000_i1028" style="width:32.25pt;height:21pt" coordsize="" o:spt="100" adj="0,,0" path="" filled="f" stroked="f">
            <v:stroke joinstyle="miter"/>
            <v:imagedata r:id="rId17" o:title="base_23573_158958_32771"/>
            <v:formulas/>
            <v:path o:connecttype="segments"/>
          </v:shape>
        </w:pict>
      </w:r>
      <w:r>
        <w:t xml:space="preserve">, </w:t>
      </w:r>
      <w:r w:rsidRPr="00A322AC">
        <w:rPr>
          <w:position w:val="-9"/>
        </w:rPr>
        <w:pict>
          <v:shape id="_x0000_i1029" style="width:32.25pt;height:21pt" coordsize="" o:spt="100" adj="0,,0" path="" filled="f" stroked="f">
            <v:stroke joinstyle="miter"/>
            <v:imagedata r:id="rId18" o:title="base_23573_158958_32772"/>
            <v:formulas/>
            <v:path o:connecttype="segments"/>
          </v:shape>
        </w:pict>
      </w:r>
      <w:r>
        <w:t xml:space="preserve">, </w:t>
      </w:r>
      <w:r w:rsidRPr="00A322AC">
        <w:rPr>
          <w:position w:val="-9"/>
        </w:rPr>
        <w:pict>
          <v:shape id="_x0000_i1030" style="width:32.25pt;height:21pt" coordsize="" o:spt="100" adj="0,,0" path="" filled="f" stroked="f">
            <v:stroke joinstyle="miter"/>
            <v:imagedata r:id="rId19" o:title="base_23573_158958_32773"/>
            <v:formulas/>
            <v:path o:connecttype="segments"/>
          </v:shape>
        </w:pict>
      </w:r>
      <w:r>
        <w:t xml:space="preserve"> для заявителей, осуществляющих технологическое присоединение энергопринимающих устройств максимальной мощностью не более 150 кВт, равными нулю.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lastRenderedPageBreak/>
        <w:t xml:space="preserve">4. Установить </w:t>
      </w:r>
      <w:hyperlink w:anchor="P1100" w:history="1">
        <w:r>
          <w:rPr>
            <w:color w:val="0000FF"/>
          </w:rPr>
          <w:t>формулы</w:t>
        </w:r>
      </w:hyperlink>
      <w:r>
        <w:t xml:space="preserve"> платы за технологическое присоединение энергопринимающих устройств потребителей к электрическим сетям территориальных сетевых организаций на территории Пензенской области согласно Приложению N 3 к настоящему приказу.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 xml:space="preserve">5. Признать утратившим силу </w:t>
      </w:r>
      <w:hyperlink r:id="rId20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30 декабря 2019 г. N 239 "Об установлении стандартизированных тарифных ставок, ставок за единицу максимальной мощности и формул платы за технологическое присоединение к электрическим сетям территориальных сетевых организаций на территории Пензенской области".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>6. Настоящий приказ разместить (опубликовать) на официальном сайте Управления по регулированию тарифов и энергосбережению Пензенской области в информационно-телекоммуникационной сети "Интернет" и "Официальном интернет-портале правовой информации" (www.pravo.gov.ru).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>7. Настоящий приказ вступает в силу с 1 января 2021 года.</w:t>
      </w:r>
    </w:p>
    <w:p w:rsidR="0079010A" w:rsidRDefault="0079010A">
      <w:pPr>
        <w:pStyle w:val="ConsPlusNormal"/>
        <w:jc w:val="both"/>
      </w:pPr>
    </w:p>
    <w:p w:rsidR="0079010A" w:rsidRDefault="0079010A">
      <w:pPr>
        <w:pStyle w:val="ConsPlusNormal"/>
        <w:jc w:val="right"/>
      </w:pPr>
      <w:r>
        <w:t>Начальник Управления</w:t>
      </w:r>
    </w:p>
    <w:p w:rsidR="0079010A" w:rsidRDefault="0079010A">
      <w:pPr>
        <w:pStyle w:val="ConsPlusNormal"/>
        <w:jc w:val="right"/>
      </w:pPr>
      <w:r>
        <w:t>Н.В.КЛАК</w:t>
      </w:r>
    </w:p>
    <w:p w:rsidR="0079010A" w:rsidRDefault="0079010A">
      <w:pPr>
        <w:pStyle w:val="ConsPlusNormal"/>
        <w:jc w:val="both"/>
      </w:pPr>
    </w:p>
    <w:p w:rsidR="0079010A" w:rsidRDefault="0079010A">
      <w:pPr>
        <w:pStyle w:val="ConsPlusNormal"/>
        <w:jc w:val="both"/>
      </w:pPr>
    </w:p>
    <w:p w:rsidR="0079010A" w:rsidRDefault="0079010A">
      <w:pPr>
        <w:pStyle w:val="ConsPlusNormal"/>
        <w:jc w:val="both"/>
      </w:pPr>
    </w:p>
    <w:p w:rsidR="0079010A" w:rsidRDefault="0079010A">
      <w:pPr>
        <w:pStyle w:val="ConsPlusNormal"/>
        <w:jc w:val="both"/>
      </w:pPr>
    </w:p>
    <w:p w:rsidR="0079010A" w:rsidRDefault="0079010A">
      <w:pPr>
        <w:pStyle w:val="ConsPlusNormal"/>
        <w:jc w:val="both"/>
      </w:pPr>
    </w:p>
    <w:p w:rsidR="0079010A" w:rsidRDefault="0079010A">
      <w:pPr>
        <w:pStyle w:val="ConsPlusNormal"/>
        <w:jc w:val="right"/>
        <w:outlineLvl w:val="0"/>
      </w:pPr>
      <w:r>
        <w:t>Приложение N 1</w:t>
      </w:r>
    </w:p>
    <w:p w:rsidR="0079010A" w:rsidRDefault="0079010A">
      <w:pPr>
        <w:pStyle w:val="ConsPlusNormal"/>
        <w:jc w:val="right"/>
      </w:pPr>
      <w:r>
        <w:t>к приказу</w:t>
      </w:r>
    </w:p>
    <w:p w:rsidR="0079010A" w:rsidRDefault="0079010A">
      <w:pPr>
        <w:pStyle w:val="ConsPlusNormal"/>
        <w:jc w:val="right"/>
      </w:pPr>
      <w:r>
        <w:t>Управления по регулированию</w:t>
      </w:r>
    </w:p>
    <w:p w:rsidR="0079010A" w:rsidRDefault="0079010A">
      <w:pPr>
        <w:pStyle w:val="ConsPlusNormal"/>
        <w:jc w:val="right"/>
      </w:pPr>
      <w:r>
        <w:t>тарифов и энергосбережению</w:t>
      </w:r>
    </w:p>
    <w:p w:rsidR="0079010A" w:rsidRDefault="0079010A">
      <w:pPr>
        <w:pStyle w:val="ConsPlusNormal"/>
        <w:jc w:val="right"/>
      </w:pPr>
      <w:r>
        <w:t>Пензенской области</w:t>
      </w:r>
    </w:p>
    <w:p w:rsidR="0079010A" w:rsidRDefault="0079010A">
      <w:pPr>
        <w:pStyle w:val="ConsPlusNormal"/>
        <w:jc w:val="right"/>
      </w:pPr>
      <w:r>
        <w:t>от 30 декабря 2020 г. N 223</w:t>
      </w:r>
    </w:p>
    <w:p w:rsidR="0079010A" w:rsidRDefault="0079010A">
      <w:pPr>
        <w:pStyle w:val="ConsPlusNormal"/>
        <w:jc w:val="both"/>
      </w:pPr>
    </w:p>
    <w:p w:rsidR="0079010A" w:rsidRDefault="0079010A">
      <w:pPr>
        <w:pStyle w:val="ConsPlusTitle"/>
        <w:jc w:val="center"/>
      </w:pPr>
      <w:bookmarkStart w:id="0" w:name="P39"/>
      <w:bookmarkEnd w:id="0"/>
      <w:r>
        <w:t>СТАНДАРТИЗИРОВАННЫЕ ТАРИФНЫЕ СТАВКИ</w:t>
      </w:r>
    </w:p>
    <w:p w:rsidR="0079010A" w:rsidRDefault="0079010A">
      <w:pPr>
        <w:pStyle w:val="ConsPlusTitle"/>
        <w:jc w:val="center"/>
      </w:pPr>
      <w:r>
        <w:t>ДЛЯ ОПРЕДЕЛЕНИЯ ПЛАТЫ ЗА ТЕХНОЛОГИЧЕСКОЕ ПРИСОЕДИНЕНИЕ</w:t>
      </w:r>
    </w:p>
    <w:p w:rsidR="0079010A" w:rsidRDefault="0079010A">
      <w:pPr>
        <w:pStyle w:val="ConsPlusTitle"/>
        <w:jc w:val="center"/>
      </w:pPr>
      <w:r>
        <w:t>ЭНЕРГОПРИНИМАЮЩИХ УСТРОЙСТВ ПОТРЕБИТЕЛЕЙ К ЭЛЕКТРИЧЕСКИМ</w:t>
      </w:r>
    </w:p>
    <w:p w:rsidR="0079010A" w:rsidRDefault="0079010A">
      <w:pPr>
        <w:pStyle w:val="ConsPlusTitle"/>
        <w:jc w:val="center"/>
      </w:pPr>
      <w:r>
        <w:t>СЕТЯМ ТЕРРИТОРИАЛЬНЫХ СЕТЕВЫХ ОРГАНИЗАЦИЙ НА ТЕРРИТОРИИ</w:t>
      </w:r>
    </w:p>
    <w:p w:rsidR="0079010A" w:rsidRDefault="0079010A">
      <w:pPr>
        <w:pStyle w:val="ConsPlusTitle"/>
        <w:jc w:val="center"/>
      </w:pPr>
      <w:r>
        <w:t>ПЕНЗЕНСКОЙ ОБЛАСТИ</w:t>
      </w:r>
    </w:p>
    <w:p w:rsidR="0079010A" w:rsidRDefault="0079010A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9010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9010A" w:rsidRDefault="0079010A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9010A" w:rsidRDefault="0079010A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9010A" w:rsidRDefault="0079010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9010A" w:rsidRDefault="0079010A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Управления по регулированию тарифов и энергосбережению</w:t>
            </w:r>
          </w:p>
          <w:p w:rsidR="0079010A" w:rsidRDefault="0079010A">
            <w:pPr>
              <w:pStyle w:val="ConsPlusNormal"/>
              <w:jc w:val="center"/>
            </w:pPr>
            <w:r>
              <w:rPr>
                <w:color w:val="392C69"/>
              </w:rPr>
              <w:t xml:space="preserve">Пензенской обл. от 10.03.2021 </w:t>
            </w:r>
            <w:hyperlink r:id="rId21" w:history="1">
              <w:r>
                <w:rPr>
                  <w:color w:val="0000FF"/>
                </w:rPr>
                <w:t>N 14</w:t>
              </w:r>
            </w:hyperlink>
            <w:r>
              <w:rPr>
                <w:color w:val="392C69"/>
              </w:rPr>
              <w:t xml:space="preserve">, от 19.03.2021 </w:t>
            </w:r>
            <w:hyperlink r:id="rId22" w:history="1">
              <w:r>
                <w:rPr>
                  <w:color w:val="0000FF"/>
                </w:rPr>
                <w:t>N 16</w:t>
              </w:r>
            </w:hyperlink>
            <w:r>
              <w:rPr>
                <w:color w:val="392C69"/>
              </w:rPr>
              <w:t xml:space="preserve">, от 16.04.2021 </w:t>
            </w:r>
            <w:hyperlink r:id="rId23" w:history="1">
              <w:r>
                <w:rPr>
                  <w:color w:val="0000FF"/>
                </w:rPr>
                <w:t>N 21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9010A" w:rsidRDefault="0079010A"/>
        </w:tc>
      </w:tr>
    </w:tbl>
    <w:p w:rsidR="0079010A" w:rsidRDefault="007901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1928"/>
        <w:gridCol w:w="2381"/>
        <w:gridCol w:w="1531"/>
        <w:gridCol w:w="1701"/>
      </w:tblGrid>
      <w:tr w:rsidR="0079010A">
        <w:tc>
          <w:tcPr>
            <w:tcW w:w="1247" w:type="dxa"/>
            <w:vAlign w:val="center"/>
          </w:tcPr>
          <w:p w:rsidR="0079010A" w:rsidRDefault="0079010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928" w:type="dxa"/>
            <w:vAlign w:val="center"/>
          </w:tcPr>
          <w:p w:rsidR="0079010A" w:rsidRDefault="0079010A">
            <w:pPr>
              <w:pStyle w:val="ConsPlusNormal"/>
              <w:jc w:val="center"/>
            </w:pPr>
            <w:r>
              <w:t>Обозначение</w:t>
            </w:r>
          </w:p>
        </w:tc>
        <w:tc>
          <w:tcPr>
            <w:tcW w:w="2381" w:type="dxa"/>
            <w:vAlign w:val="center"/>
          </w:tcPr>
          <w:p w:rsidR="0079010A" w:rsidRDefault="0079010A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31" w:type="dxa"/>
            <w:vAlign w:val="center"/>
          </w:tcPr>
          <w:p w:rsidR="0079010A" w:rsidRDefault="0079010A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center"/>
            </w:pPr>
            <w:r>
              <w:t xml:space="preserve">Ставка за технологическое присоединение к электрическим сетям энергопринимающих устройств с учетом ранее присоединенной максимальной </w:t>
            </w:r>
            <w:r>
              <w:lastRenderedPageBreak/>
              <w:t>мощности</w:t>
            </w:r>
          </w:p>
        </w:tc>
      </w:tr>
      <w:tr w:rsidR="0079010A">
        <w:tc>
          <w:tcPr>
            <w:tcW w:w="1247" w:type="dxa"/>
            <w:vAlign w:val="center"/>
          </w:tcPr>
          <w:p w:rsidR="0079010A" w:rsidRDefault="0079010A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928" w:type="dxa"/>
            <w:vAlign w:val="center"/>
          </w:tcPr>
          <w:p w:rsidR="0079010A" w:rsidRDefault="0079010A">
            <w:pPr>
              <w:pStyle w:val="ConsPlusNormal"/>
              <w:jc w:val="center"/>
            </w:pPr>
            <w:r>
              <w:t>С1</w:t>
            </w:r>
          </w:p>
        </w:tc>
        <w:tc>
          <w:tcPr>
            <w:tcW w:w="2381" w:type="dxa"/>
            <w:vAlign w:val="center"/>
          </w:tcPr>
          <w:p w:rsidR="0079010A" w:rsidRDefault="0079010A">
            <w:pPr>
              <w:pStyle w:val="ConsPlusNormal"/>
            </w:pPr>
            <w:r>
              <w:t>стандартизированная тарифная ставка на покрытие расходов на технологическое присоединение энергопринимающих устройств потребителей электрической энергии, объектов электросетевого хозяйства, принадлежащих сетевым организациям и иным лицам, на подготовку и выдачу сетевой организацией технических условий заявителю и проверку сетевой организацией выполнения технических условий заявителем</w:t>
            </w:r>
          </w:p>
        </w:tc>
        <w:tc>
          <w:tcPr>
            <w:tcW w:w="1531" w:type="dxa"/>
            <w:vAlign w:val="center"/>
          </w:tcPr>
          <w:p w:rsidR="0079010A" w:rsidRDefault="0079010A">
            <w:pPr>
              <w:pStyle w:val="ConsPlusNormal"/>
              <w:jc w:val="center"/>
            </w:pPr>
            <w:r>
              <w:t>рублей за одно присоединение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16 668,36</w:t>
            </w:r>
          </w:p>
        </w:tc>
      </w:tr>
      <w:tr w:rsidR="0079010A">
        <w:tc>
          <w:tcPr>
            <w:tcW w:w="1247" w:type="dxa"/>
            <w:vAlign w:val="center"/>
          </w:tcPr>
          <w:p w:rsidR="0079010A" w:rsidRDefault="0079010A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1928" w:type="dxa"/>
            <w:vAlign w:val="center"/>
          </w:tcPr>
          <w:p w:rsidR="0079010A" w:rsidRDefault="0079010A">
            <w:pPr>
              <w:pStyle w:val="ConsPlusNormal"/>
              <w:jc w:val="center"/>
            </w:pPr>
            <w:r>
              <w:t>С1.1</w:t>
            </w:r>
          </w:p>
        </w:tc>
        <w:tc>
          <w:tcPr>
            <w:tcW w:w="2381" w:type="dxa"/>
            <w:vAlign w:val="center"/>
          </w:tcPr>
          <w:p w:rsidR="0079010A" w:rsidRDefault="0079010A">
            <w:pPr>
              <w:pStyle w:val="ConsPlusNormal"/>
            </w:pPr>
            <w:r>
              <w:t>стандартизированная тарифная ставка на покрытие расходов сетевой организации на подготовку и выдачу сетевой организацией технических условий заявителю</w:t>
            </w:r>
          </w:p>
        </w:tc>
        <w:tc>
          <w:tcPr>
            <w:tcW w:w="1531" w:type="dxa"/>
            <w:vAlign w:val="center"/>
          </w:tcPr>
          <w:p w:rsidR="0079010A" w:rsidRDefault="0079010A">
            <w:pPr>
              <w:pStyle w:val="ConsPlusNormal"/>
              <w:jc w:val="center"/>
            </w:pPr>
            <w:r>
              <w:t>рублей за одно присоединение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5 559,19</w:t>
            </w:r>
          </w:p>
        </w:tc>
      </w:tr>
      <w:tr w:rsidR="0079010A">
        <w:tc>
          <w:tcPr>
            <w:tcW w:w="1247" w:type="dxa"/>
            <w:vAlign w:val="center"/>
          </w:tcPr>
          <w:p w:rsidR="0079010A" w:rsidRDefault="0079010A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1928" w:type="dxa"/>
            <w:vAlign w:val="center"/>
          </w:tcPr>
          <w:p w:rsidR="0079010A" w:rsidRDefault="0079010A">
            <w:pPr>
              <w:pStyle w:val="ConsPlusNormal"/>
              <w:jc w:val="center"/>
            </w:pPr>
            <w:r>
              <w:t>С1.2</w:t>
            </w:r>
          </w:p>
        </w:tc>
        <w:tc>
          <w:tcPr>
            <w:tcW w:w="2381" w:type="dxa"/>
            <w:vAlign w:val="center"/>
          </w:tcPr>
          <w:p w:rsidR="0079010A" w:rsidRDefault="0079010A">
            <w:pPr>
              <w:pStyle w:val="ConsPlusNormal"/>
            </w:pPr>
            <w:r>
              <w:t>стандартизированная тарифная ставка на покрытие расходов на проверку выполнения сетевой организацией выполнения технических условий заявителем</w:t>
            </w:r>
          </w:p>
        </w:tc>
        <w:tc>
          <w:tcPr>
            <w:tcW w:w="1531" w:type="dxa"/>
            <w:vAlign w:val="center"/>
          </w:tcPr>
          <w:p w:rsidR="0079010A" w:rsidRDefault="0079010A">
            <w:pPr>
              <w:pStyle w:val="ConsPlusNormal"/>
              <w:jc w:val="center"/>
            </w:pPr>
            <w:r>
              <w:t>рублей за одно присоединение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11 109,16</w:t>
            </w:r>
          </w:p>
        </w:tc>
      </w:tr>
      <w:tr w:rsidR="0079010A">
        <w:tc>
          <w:tcPr>
            <w:tcW w:w="8788" w:type="dxa"/>
            <w:gridSpan w:val="5"/>
            <w:vAlign w:val="center"/>
          </w:tcPr>
          <w:p w:rsidR="0079010A" w:rsidRDefault="0079010A">
            <w:pPr>
              <w:pStyle w:val="ConsPlusNormal"/>
              <w:jc w:val="center"/>
              <w:outlineLvl w:val="1"/>
            </w:pPr>
            <w:r>
              <w:t>I. Для территорий городских населенных пунктов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I.2.3.1.4.1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С2.3.1.4.1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воздушные линии на железобетонных опорах изолированным алюминиевым проводом сечением до 50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рублей/км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1206632,69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С2.3.1.4.1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2873130,6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С2.3.1.4.1 город 35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С2.3.1.4.1 город 110 кВ и выше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I.2.3.1.4.2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С2.3.1.4.2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воздушные линии на железобетонных опорах изолированным алюминиевым проводом сечением от 50 до 100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рублей/км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1682498,63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С2.3.1.4.2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1006991,42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С2.3.1.4.2 город 35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С2.3.1.4.2 город 110 кВ и выше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I.2.3.1.4.3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С2.3.1.4.3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воздушные линии на железобетонных опорах изолированным алюминиевым проводом сечением от 100 до 200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рублей/км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589335,06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С2.3.1.4.3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С2.3.1.4.3 город 35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С2.3.1.4.3 город 110 кВ и выше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tcBorders>
              <w:bottom w:val="nil"/>
            </w:tcBorders>
            <w:vAlign w:val="center"/>
          </w:tcPr>
          <w:p w:rsidR="0079010A" w:rsidRDefault="0079010A">
            <w:pPr>
              <w:pStyle w:val="ConsPlusNormal"/>
              <w:jc w:val="both"/>
            </w:pPr>
            <w:r>
              <w:t>I.2.3.2.3.2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С2.3.2.3.2 город 0,4 кВ и ниже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79010A" w:rsidRDefault="0079010A">
            <w:pPr>
              <w:pStyle w:val="ConsPlusNormal"/>
            </w:pPr>
            <w:r>
              <w:t>воздушные линии на железобетонных опорах неизолированным сталеалюминиевым проводом сечением от 50 до 100 квадратных мм включительно</w:t>
            </w:r>
          </w:p>
        </w:tc>
        <w:tc>
          <w:tcPr>
            <w:tcW w:w="1531" w:type="dxa"/>
            <w:vMerge w:val="restart"/>
            <w:tcBorders>
              <w:bottom w:val="nil"/>
            </w:tcBorders>
            <w:vAlign w:val="center"/>
          </w:tcPr>
          <w:p w:rsidR="0079010A" w:rsidRDefault="0079010A">
            <w:pPr>
              <w:pStyle w:val="ConsPlusNormal"/>
            </w:pPr>
            <w:r>
              <w:t>рублей/км</w:t>
            </w:r>
          </w:p>
        </w:tc>
        <w:tc>
          <w:tcPr>
            <w:tcW w:w="1701" w:type="dxa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  <w:tcBorders>
              <w:bottom w:val="nil"/>
            </w:tcBorders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С2.3.2.3.2 город 1 - 20 кВ</w:t>
            </w:r>
          </w:p>
        </w:tc>
        <w:tc>
          <w:tcPr>
            <w:tcW w:w="2381" w:type="dxa"/>
            <w:vMerge/>
            <w:tcBorders>
              <w:bottom w:val="nil"/>
            </w:tcBorders>
          </w:tcPr>
          <w:p w:rsidR="0079010A" w:rsidRDefault="0079010A"/>
        </w:tc>
        <w:tc>
          <w:tcPr>
            <w:tcW w:w="1531" w:type="dxa"/>
            <w:vMerge/>
            <w:tcBorders>
              <w:bottom w:val="nil"/>
            </w:tcBorders>
          </w:tcPr>
          <w:p w:rsidR="0079010A" w:rsidRDefault="0079010A"/>
        </w:tc>
        <w:tc>
          <w:tcPr>
            <w:tcW w:w="1701" w:type="dxa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  <w:tcBorders>
              <w:bottom w:val="nil"/>
            </w:tcBorders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С2.3.2.3.2 город 35 кВ</w:t>
            </w:r>
          </w:p>
        </w:tc>
        <w:tc>
          <w:tcPr>
            <w:tcW w:w="2381" w:type="dxa"/>
            <w:vMerge/>
            <w:tcBorders>
              <w:bottom w:val="nil"/>
            </w:tcBorders>
          </w:tcPr>
          <w:p w:rsidR="0079010A" w:rsidRDefault="0079010A"/>
        </w:tc>
        <w:tc>
          <w:tcPr>
            <w:tcW w:w="1531" w:type="dxa"/>
            <w:vMerge/>
            <w:tcBorders>
              <w:bottom w:val="nil"/>
            </w:tcBorders>
          </w:tcPr>
          <w:p w:rsidR="0079010A" w:rsidRDefault="0079010A"/>
        </w:tc>
        <w:tc>
          <w:tcPr>
            <w:tcW w:w="1701" w:type="dxa"/>
          </w:tcPr>
          <w:p w:rsidR="0079010A" w:rsidRDefault="0079010A">
            <w:pPr>
              <w:pStyle w:val="ConsPlusNormal"/>
              <w:jc w:val="center"/>
            </w:pPr>
            <w:r>
              <w:t>2555089,10</w:t>
            </w:r>
          </w:p>
        </w:tc>
      </w:tr>
      <w:tr w:rsidR="0079010A">
        <w:tblPrEx>
          <w:tblBorders>
            <w:insideH w:val="nil"/>
          </w:tblBorders>
        </w:tblPrEx>
        <w:tc>
          <w:tcPr>
            <w:tcW w:w="1247" w:type="dxa"/>
            <w:vMerge/>
            <w:tcBorders>
              <w:bottom w:val="nil"/>
            </w:tcBorders>
          </w:tcPr>
          <w:p w:rsidR="0079010A" w:rsidRDefault="0079010A"/>
        </w:tc>
        <w:tc>
          <w:tcPr>
            <w:tcW w:w="1928" w:type="dxa"/>
            <w:tcBorders>
              <w:bottom w:val="nil"/>
            </w:tcBorders>
          </w:tcPr>
          <w:p w:rsidR="0079010A" w:rsidRDefault="0079010A">
            <w:pPr>
              <w:pStyle w:val="ConsPlusNormal"/>
            </w:pPr>
            <w:r>
              <w:t>С2.3.2.3.2 не город 110 кВ и выше</w:t>
            </w:r>
          </w:p>
        </w:tc>
        <w:tc>
          <w:tcPr>
            <w:tcW w:w="2381" w:type="dxa"/>
            <w:vMerge/>
            <w:tcBorders>
              <w:bottom w:val="nil"/>
            </w:tcBorders>
          </w:tcPr>
          <w:p w:rsidR="0079010A" w:rsidRDefault="0079010A"/>
        </w:tc>
        <w:tc>
          <w:tcPr>
            <w:tcW w:w="1531" w:type="dxa"/>
            <w:vMerge/>
            <w:tcBorders>
              <w:bottom w:val="nil"/>
            </w:tcBorders>
          </w:tcPr>
          <w:p w:rsidR="0079010A" w:rsidRDefault="0079010A"/>
        </w:tc>
        <w:tc>
          <w:tcPr>
            <w:tcW w:w="1701" w:type="dxa"/>
            <w:tcBorders>
              <w:bottom w:val="nil"/>
            </w:tcBorders>
          </w:tcPr>
          <w:p w:rsidR="0079010A" w:rsidRDefault="0079010A">
            <w:pPr>
              <w:pStyle w:val="ConsPlusNormal"/>
            </w:pPr>
          </w:p>
        </w:tc>
      </w:tr>
      <w:tr w:rsidR="0079010A">
        <w:tblPrEx>
          <w:tblBorders>
            <w:insideH w:val="nil"/>
          </w:tblBorders>
        </w:tblPrEx>
        <w:tc>
          <w:tcPr>
            <w:tcW w:w="8788" w:type="dxa"/>
            <w:gridSpan w:val="5"/>
            <w:tcBorders>
              <w:top w:val="nil"/>
            </w:tcBorders>
          </w:tcPr>
          <w:p w:rsidR="0079010A" w:rsidRDefault="0079010A">
            <w:pPr>
              <w:pStyle w:val="ConsPlusNormal"/>
              <w:jc w:val="both"/>
            </w:pPr>
            <w:r>
              <w:t xml:space="preserve">(п. I.2.3.2.3.2 введен </w:t>
            </w:r>
            <w:hyperlink r:id="rId24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19.03.2021 N 16)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I.2.3.2.3.3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С2.3.1.4.3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воздушные линии на железобетонных опорах неизолированным сталеалюминиевым проводом сечением от 100 до 200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рублей/км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С2.3.2.3.3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С2.3.2.3.3 город 35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С2.3.2.3.3 город 110 кВ и выше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6 839 329,59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I.3.1.2.1.3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С3.1.2.1.3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 xml:space="preserve">кабельные линии в траншеях </w:t>
            </w:r>
            <w:r>
              <w:lastRenderedPageBreak/>
              <w:t>многожильные с резиновой или пластмассовой изоляцией сечением провода от 100 до 200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lastRenderedPageBreak/>
              <w:t>рублей/км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1891943,7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С3.1.2.1.3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С3.1.2.1.3 город 35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С3.1.2.1.3 город 110 кВ и выше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I.3.1.2.2.1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С3.1.2.2.1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кабельные линии в траншеях многожильные с бумажной изоляцией сечением провода до 50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рублей/км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2003665,94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С3.1.2.2.1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3412732,17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С3.1.2.2.1 город 35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С3.1.2.2.1 город 110 кВ и выше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I.3.1.2.2.2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С3.1.2.2.2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кабельные линии в траншеях многожильные с бумажной изоляцией сечением провода от 50 до 100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рублей/км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1559102,85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С3.1.2.2.2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2136016,28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С3.1.2.2.2 город 35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С3.1.2.2.2 город 110 кВ и выше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I.3.1.2.2.3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С3.1.2.2.3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кабельные линии в траншеях многожильные с бумажной изоляцией сечением провода от 100 до 200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рублей/км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1918693,73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С3.1.2.2.3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1872059,17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С3.1.2.2.3 город 35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С3.1.2.2.3 город 110 кВ и выше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I.3.1.2.2.4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С3.1.2.2.4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кабельные линии в траншеях многожильные с бумажной изоляцией сечением провода от 200 до 500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рублей/км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1516016,46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С3.1.2.2.4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2087031,31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С3.1.2.2.4 город 35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С3.1.2.2.4 город 110 кВ и выше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lastRenderedPageBreak/>
              <w:t>I.3.6.2.2.1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С3.6.2.2.1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кабельные линии, прокладываемые путем горизонтального наклонного бурения, многожильные с бумажной изоляцией сечением провода до 50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рублей/км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5708473,15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С3.6.2.2.1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2785095,51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С3.6.2.2.1 город 35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С3.6.2.2.1 город 110 кВ и выше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I.3.6.2.2.2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С3.6.2.2.2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кабельные линии, прокладываемые путем горизонтального наклонного бурения, многожильные с бумажной изоляцией сечением провода от 50 до 100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рублей/км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3502020,02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С3.6.2.2.2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1768007,28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С3.6.2.2.2 город 35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С3.6.2.2.2 город 110 кВ и выше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I.3.6.2.2.3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С3.6.2.2.3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кабельные линии, прокладываемые путем горизонтального наклонного бурения, многожильные с бумажной изоляцией сечением провода от 100 до 200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рублей/км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7306502,99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С3.6.2.2.3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7663071,9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С3.6.2.2.3 город 35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С3.6.2.2.3 город 110 кВ и выше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I.3.6.2.2.4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С3.6.2.2.4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кабельные линии, прокладываемые путем горизонтального наклонного бурения, многожильные с бумажной изоляцией сечением провода от 200 до 500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рублей/км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2701241,72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С3.6.2.2.4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4839387,85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С3.6.2.2.4 город 35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С3.6.2.2.4 город 110 кВ и выше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I.5.1.1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С5.1.1 город 6(10)/0,4 кВ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однотрансформаторные подстанции (за исключением РТП) мощностью до 25 кВА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28535,87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С5.1.1 город 20/0,4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I.5.1.2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С5.1.2 город 6(10)/0,4 кВ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 xml:space="preserve">однотрансформаторные подстанции (за </w:t>
            </w:r>
            <w:r>
              <w:lastRenderedPageBreak/>
              <w:t>исключением РТП) мощностью от 25 до 100 кВА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lastRenderedPageBreak/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11278,54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С5.1.2 город 20/0,4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lastRenderedPageBreak/>
              <w:t>I.5.1.3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С5.1.3 город 6(10)/0,4 кВ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однотрансформаторные подстанции (за исключением РТП) мощностью от 100 до 250 кВА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4245,06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С5.1.3 город 20/0,4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I.5.1.4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С5.1.4 город 6(10)/0,4 кВ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однотрансформаторные подстанции (за исключением РТП) мощностью от 250 до 400 кВА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4671,64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С5.1.4 город 20/0,4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I.5.1.5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С5.1.5 город 6(10)/0,4 кВ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однотрансформаторные подстанции (за исключением РТП) мощностью от 420 до 1000 кВА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6496,48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С5.1.5 город 20/0,4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I.5.2.2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С5.2.2 город 6(10)/0,4 кВ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двухтрансформаторные и более подстанции (за исключением РТП) мощностью от 25 до 100 кВА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8375,78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С5.2.2 город 20/0,4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I.5.2.3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С5.2.3 город 6(10)/0,4 кВ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двухтрансформаторные и более подстанции (за исключением РТП) мощностью от 100 до 250 кВА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10243,34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С5.2.3 город 20/0,4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I.5.2.4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С5.2.4 город 6(10)/0,4 кВ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двухтрансформаторные и более подстанции (за исключением РТП) мощностью от 250 до 400 кВА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2250,82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С5.2.4 город 20/0,4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I.5.2.5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С5.2.5 город 6(10)/0,4 кВ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двухтрансформаторные и более подстанции (за исключением РТП) мощностью от 420 до 1000 кВА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4047,14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С5.2.5 город 20/0,4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I.6.2.5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С6.2.5 город 6(10)/0,4 кВ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распределительные двухтрансформаторные подстанции мощностью от 420 до 1000 кВА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С6.2.5 город 20/0,4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14355,54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I.8.1.1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С8.1.1 город 0,4 кВ и ниже с ТТ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 xml:space="preserve">средства коммерческого учета </w:t>
            </w:r>
            <w:r>
              <w:lastRenderedPageBreak/>
              <w:t>электрической энергии (мощности) однофазные прямого включения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lastRenderedPageBreak/>
              <w:t>рублей за точку учета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С8.1.1 город 0,4 кВ и ниже без ТТ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16685,11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С8.1.1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С8.1.1 город 35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С8.1.1 город 110 кВ и выше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I.8.2.1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С8.2.1 город 0,4 кВ и ниже с ТТ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средства коммерческого учета электрической энергии (мощности) трехфазные прямого включения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 за точку учета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32179,03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С8.2.1 город 0,4 кВ и ниже без ТТ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28603,35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С8.2.1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363602,82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С8.2.1 город 35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С8.2.1 город 110 кВ и выше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I.8.2.2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С8.2.2 город 0,4 кВ и ниже с ТТ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средства коммерческого учета электрической энергии (мощности) трехфазные полукосвенного включения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 за точку учета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28442,23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С8.2.2 город 0,4 кВ и ниже без ТТ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С8.2.2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С8.2.2 город 35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С8.2.2 город 110 кВ и выше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tcBorders>
              <w:bottom w:val="nil"/>
            </w:tcBorders>
            <w:vAlign w:val="center"/>
          </w:tcPr>
          <w:p w:rsidR="0079010A" w:rsidRDefault="0079010A">
            <w:pPr>
              <w:pStyle w:val="ConsPlusNormal"/>
              <w:jc w:val="both"/>
            </w:pPr>
            <w:r>
              <w:t>I.8.2.3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С8.2.3 город 0,4 кВ и ниже с ТТ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79010A" w:rsidRDefault="0079010A">
            <w:pPr>
              <w:pStyle w:val="ConsPlusNormal"/>
              <w:jc w:val="center"/>
            </w:pPr>
            <w:r>
              <w:t>средства коммерческого учета электрической энергии (мощности) трехфазные косвенного включения</w:t>
            </w:r>
          </w:p>
        </w:tc>
        <w:tc>
          <w:tcPr>
            <w:tcW w:w="1531" w:type="dxa"/>
            <w:vMerge w:val="restart"/>
            <w:tcBorders>
              <w:bottom w:val="nil"/>
            </w:tcBorders>
            <w:vAlign w:val="center"/>
          </w:tcPr>
          <w:p w:rsidR="0079010A" w:rsidRDefault="0079010A">
            <w:pPr>
              <w:pStyle w:val="ConsPlusNormal"/>
              <w:jc w:val="center"/>
            </w:pPr>
            <w:r>
              <w:t>рублей за точку учета</w:t>
            </w:r>
          </w:p>
        </w:tc>
        <w:tc>
          <w:tcPr>
            <w:tcW w:w="1701" w:type="dxa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  <w:tcBorders>
              <w:bottom w:val="nil"/>
            </w:tcBorders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С8.2.3 город 0,4 кВ и ниже без ТТ</w:t>
            </w:r>
          </w:p>
        </w:tc>
        <w:tc>
          <w:tcPr>
            <w:tcW w:w="2381" w:type="dxa"/>
            <w:vMerge/>
            <w:tcBorders>
              <w:bottom w:val="nil"/>
            </w:tcBorders>
          </w:tcPr>
          <w:p w:rsidR="0079010A" w:rsidRDefault="0079010A"/>
        </w:tc>
        <w:tc>
          <w:tcPr>
            <w:tcW w:w="1531" w:type="dxa"/>
            <w:vMerge/>
            <w:tcBorders>
              <w:bottom w:val="nil"/>
            </w:tcBorders>
          </w:tcPr>
          <w:p w:rsidR="0079010A" w:rsidRDefault="0079010A"/>
        </w:tc>
        <w:tc>
          <w:tcPr>
            <w:tcW w:w="1701" w:type="dxa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  <w:tcBorders>
              <w:bottom w:val="nil"/>
            </w:tcBorders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С8.2.3 город 1 - 20 кВ</w:t>
            </w:r>
          </w:p>
        </w:tc>
        <w:tc>
          <w:tcPr>
            <w:tcW w:w="2381" w:type="dxa"/>
            <w:vMerge/>
            <w:tcBorders>
              <w:bottom w:val="nil"/>
            </w:tcBorders>
          </w:tcPr>
          <w:p w:rsidR="0079010A" w:rsidRDefault="0079010A"/>
        </w:tc>
        <w:tc>
          <w:tcPr>
            <w:tcW w:w="1531" w:type="dxa"/>
            <w:vMerge/>
            <w:tcBorders>
              <w:bottom w:val="nil"/>
            </w:tcBorders>
          </w:tcPr>
          <w:p w:rsidR="0079010A" w:rsidRDefault="0079010A"/>
        </w:tc>
        <w:tc>
          <w:tcPr>
            <w:tcW w:w="1701" w:type="dxa"/>
          </w:tcPr>
          <w:p w:rsidR="0079010A" w:rsidRDefault="0079010A">
            <w:pPr>
              <w:pStyle w:val="ConsPlusNormal"/>
              <w:jc w:val="center"/>
            </w:pPr>
            <w:r>
              <w:t>159294,39</w:t>
            </w:r>
          </w:p>
        </w:tc>
      </w:tr>
      <w:tr w:rsidR="0079010A">
        <w:tc>
          <w:tcPr>
            <w:tcW w:w="1247" w:type="dxa"/>
            <w:vMerge/>
            <w:tcBorders>
              <w:bottom w:val="nil"/>
            </w:tcBorders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  <w:jc w:val="both"/>
            </w:pPr>
            <w:r>
              <w:t>С8.2.3 город 35 кВ</w:t>
            </w:r>
          </w:p>
        </w:tc>
        <w:tc>
          <w:tcPr>
            <w:tcW w:w="2381" w:type="dxa"/>
            <w:vMerge/>
            <w:tcBorders>
              <w:bottom w:val="nil"/>
            </w:tcBorders>
          </w:tcPr>
          <w:p w:rsidR="0079010A" w:rsidRDefault="0079010A"/>
        </w:tc>
        <w:tc>
          <w:tcPr>
            <w:tcW w:w="1531" w:type="dxa"/>
            <w:vMerge/>
            <w:tcBorders>
              <w:bottom w:val="nil"/>
            </w:tcBorders>
          </w:tcPr>
          <w:p w:rsidR="0079010A" w:rsidRDefault="0079010A"/>
        </w:tc>
        <w:tc>
          <w:tcPr>
            <w:tcW w:w="1701" w:type="dxa"/>
          </w:tcPr>
          <w:p w:rsidR="0079010A" w:rsidRDefault="0079010A">
            <w:pPr>
              <w:pStyle w:val="ConsPlusNormal"/>
              <w:jc w:val="center"/>
            </w:pPr>
            <w:r>
              <w:t>1183750,14</w:t>
            </w:r>
          </w:p>
        </w:tc>
      </w:tr>
      <w:tr w:rsidR="0079010A">
        <w:tblPrEx>
          <w:tblBorders>
            <w:insideH w:val="nil"/>
          </w:tblBorders>
        </w:tblPrEx>
        <w:tc>
          <w:tcPr>
            <w:tcW w:w="1247" w:type="dxa"/>
            <w:vMerge/>
            <w:tcBorders>
              <w:bottom w:val="nil"/>
            </w:tcBorders>
          </w:tcPr>
          <w:p w:rsidR="0079010A" w:rsidRDefault="0079010A"/>
        </w:tc>
        <w:tc>
          <w:tcPr>
            <w:tcW w:w="1928" w:type="dxa"/>
            <w:tcBorders>
              <w:bottom w:val="nil"/>
            </w:tcBorders>
          </w:tcPr>
          <w:p w:rsidR="0079010A" w:rsidRDefault="0079010A">
            <w:pPr>
              <w:pStyle w:val="ConsPlusNormal"/>
            </w:pPr>
            <w:r>
              <w:t>С8.2.3 город 110 кВ и выше</w:t>
            </w:r>
          </w:p>
        </w:tc>
        <w:tc>
          <w:tcPr>
            <w:tcW w:w="2381" w:type="dxa"/>
            <w:vMerge/>
            <w:tcBorders>
              <w:bottom w:val="nil"/>
            </w:tcBorders>
          </w:tcPr>
          <w:p w:rsidR="0079010A" w:rsidRDefault="0079010A"/>
        </w:tc>
        <w:tc>
          <w:tcPr>
            <w:tcW w:w="1531" w:type="dxa"/>
            <w:vMerge/>
            <w:tcBorders>
              <w:bottom w:val="nil"/>
            </w:tcBorders>
          </w:tcPr>
          <w:p w:rsidR="0079010A" w:rsidRDefault="0079010A"/>
        </w:tc>
        <w:tc>
          <w:tcPr>
            <w:tcW w:w="1701" w:type="dxa"/>
            <w:tcBorders>
              <w:bottom w:val="nil"/>
            </w:tcBorders>
          </w:tcPr>
          <w:p w:rsidR="0079010A" w:rsidRDefault="0079010A">
            <w:pPr>
              <w:pStyle w:val="ConsPlusNormal"/>
            </w:pPr>
          </w:p>
        </w:tc>
      </w:tr>
      <w:tr w:rsidR="0079010A">
        <w:tblPrEx>
          <w:tblBorders>
            <w:insideH w:val="nil"/>
          </w:tblBorders>
        </w:tblPrEx>
        <w:tc>
          <w:tcPr>
            <w:tcW w:w="8788" w:type="dxa"/>
            <w:gridSpan w:val="5"/>
            <w:tcBorders>
              <w:top w:val="nil"/>
            </w:tcBorders>
          </w:tcPr>
          <w:p w:rsidR="0079010A" w:rsidRDefault="0079010A">
            <w:pPr>
              <w:pStyle w:val="ConsPlusNormal"/>
              <w:jc w:val="both"/>
            </w:pPr>
            <w:r>
              <w:t xml:space="preserve">(п. I.8.2.3 в ред. </w:t>
            </w:r>
            <w:hyperlink r:id="rId25" w:history="1">
              <w:r>
                <w:rPr>
                  <w:color w:val="0000FF"/>
                </w:rPr>
                <w:t>Приказа</w:t>
              </w:r>
            </w:hyperlink>
            <w:r>
              <w:t xml:space="preserve"> Управления по регулированию тарифов и энергосбережению Пензенской обл. от 19.03.2021 N 16)</w:t>
            </w:r>
          </w:p>
        </w:tc>
      </w:tr>
      <w:tr w:rsidR="0079010A">
        <w:tc>
          <w:tcPr>
            <w:tcW w:w="8788" w:type="dxa"/>
            <w:gridSpan w:val="5"/>
            <w:vAlign w:val="center"/>
          </w:tcPr>
          <w:p w:rsidR="0079010A" w:rsidRDefault="0079010A">
            <w:pPr>
              <w:pStyle w:val="ConsPlusNormal"/>
              <w:jc w:val="center"/>
              <w:outlineLvl w:val="1"/>
            </w:pPr>
            <w:r>
              <w:t>II. Для территорий, не относящихся к городским населенным пунктам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lastRenderedPageBreak/>
              <w:t>II.2.1.1.4.1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С2.1.1.4.1 не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воздушные линии на деревянных опорах изолированным алюминиевым проводом сечением до 50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рублей/км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189232,13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С2.1.1.4.1 не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С2.1.1.4.1 не город 35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С2.1.1.4.1 не город 110 кВ и выше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II.2.3.1.4.1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С2.3.1.4.1 не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воздушные линии на железобетонных опорах изолированным алюминиевым проводом сечением до 50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рублей/км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1248227,73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С2.3.1.4.1 не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2159252,09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С2.3.1.4.1 не город 35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С2.3.1.4.1 не город 110 кВ и выше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II.2.3.1.4.2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С2.3.1.4.2 не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воздушные линии на железобетонных опорах изолированным алюминиевым проводом сечением от 50 до 100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рублей/км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2175189,72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С2.3.1.4.2 не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1441890,92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С2.3.1.4.2 не город 35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С2.3.1.4.2 не город 110 кВ и выше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II.2.3.2.3.2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С2.3.2.3.2 не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воздушные линии на железобетонных опорах неизолированным сталеалюминиевым проводом сечением от 50 до 100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рублей/км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С2.3.2.3.2 не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С2.3.2.3.2 не город 35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5 306 045,42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С2.3.2.3.2 не город 110 кВ и выше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II.2.3.2.3.3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С2.3.2.3.3 не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 xml:space="preserve">воздушные линии на железобетонных опорах неизолированным сталеалюминиевым проводом сечением от 100 до 200 квадратных </w:t>
            </w:r>
            <w:r>
              <w:lastRenderedPageBreak/>
              <w:t>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lastRenderedPageBreak/>
              <w:t>рублей/км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С2.3.2.3.3 не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1154338,29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С2.3.2.3.3 не город 35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С2.3.2.3.3 не город 110 кВ и выше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lastRenderedPageBreak/>
              <w:t>II.2.3.2.4.1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С2.3.2.4.1 не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воздушные линии на железобетонных опорах неизолированным алюминиевым проводом сечением до 50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рублей/км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С2.3.2.4.1 не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288203,28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С2.3.2.4.1 не город 35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С2.3.2.4.1 не город 110 кВ и выше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II.3.1.1.1.3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С3.1.1.1.3 не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кабельные линии в траншеях одножильные с резиновой или пластмассовой изоляцией сечением провода от 100 до 200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рублей/км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2120342,98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С3.1.1.1.3 не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С3.1.1.1.3 не город 35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С3.1.1.1.3 не город 110 кВ и выше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II.3.1.1.2.3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С3.1.1.2.3 не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кабельные линии в траншеях одножильные с бумажной изоляцией сечением провода от 100 до 200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рублей/км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С3.1.1.2.3 не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2821512,55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С3.1.1.2.3 не город 35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С3.1.1.2.3 не город 110 кВ и выше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II.3.1.2.1.1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С3.1.2.1.1 не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кабельные линии в траншеях многожильные с резиновой или пластмассовой изоляцией сечением провода до 50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рублей/км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1317720,22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С3.1.2.1.1 не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С3.1.2.1.1 не город 35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С3.1.2.1.1 не город 110 кВ и выше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II.3.1.2.1.2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С3.1.2.1.2 не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 xml:space="preserve">кабельные линии в траншеях многожильные с резиновой или </w:t>
            </w:r>
            <w:r>
              <w:lastRenderedPageBreak/>
              <w:t>пластмассовой изоляцией сечением провода от 50 до 100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lastRenderedPageBreak/>
              <w:t>рублей/км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874374,96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С3.1.2.1.2 не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С3.1.2.1.2 не город 35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С3.1.2.1.2 не город 110 кВ и выше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II.3.1.2.2.1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С3.1.2.2.1 не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кабельные линии в траншеях многожильные с бумажной изоляцией сечением провода до 50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рублей/км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С3.1.2.2.1 не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1127716,39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С3.1.2.2.1 не город 35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С3.1.2.2.1 не город 110 кВ и выше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II.3.1.2.2.2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С3.1.2.2.2 не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кабельные линии в траншеях многожильные с бумажной изоляцией сечением провода от 50 до 100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рублей/км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С3.1.2.2.2 не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1772909,5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С3.1.2.2.2 не город 35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С3.1.2.2.2 не город 110 кВ и выше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II.3.1.2.2.3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С3.1.2.2.3 не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кабельные линии в траншеях многожильные с бумажной изоляцией сечением провода от 100 до 200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рублей/км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С3.1.2.2.3 не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4102593,36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С3.1.2.2.3 не город 35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С3.1.2.2.3 не город 110 кВ и выше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II.3.1.2.2.4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С3.1.2.2.4 не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кабельные линии в траншеях многожильные с бумажной изоляцией сечением провода от 200 до 500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рублей/км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1079686,18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С3.1.2.2.4 не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1154338,29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С3.1.2.2.4 не город 35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С3.1.2.2.4 не город 110 кВ и выше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II.3.6.2.2.1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С3.6.2.2.1 не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 xml:space="preserve">кабельные линии, прокладываемые </w:t>
            </w:r>
            <w:r>
              <w:lastRenderedPageBreak/>
              <w:t>путем горизонтального наклонного бурения, многожильные с бумажной изоляцией сечением провода до 50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lastRenderedPageBreak/>
              <w:t>рублей/км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С3.6.2.2.1 не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3887712,18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С3.6.2.2.1 не город 35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С3.6.2.2.1 не город 110 кВ и выше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II.3.6.2.2.2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С3.6.2.2.2 не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кабельные линии, прокладываемые путем горизонтального наклонного бурения, многожильные с бумажной изоляцией сечением провода от 50 до 100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рублей/км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С3.6.2.2.2 не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1093098,54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С3.6.2.2.2 не город 35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С3.6.2.2.2 не город 110 кВ и выше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tcBorders>
              <w:bottom w:val="nil"/>
            </w:tcBorders>
            <w:vAlign w:val="center"/>
          </w:tcPr>
          <w:p w:rsidR="0079010A" w:rsidRDefault="0079010A">
            <w:pPr>
              <w:pStyle w:val="ConsPlusNormal"/>
              <w:jc w:val="center"/>
            </w:pPr>
            <w:r>
              <w:t>II.4.1.1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С4.1.1 не город 0,4 кВ и ниже</w:t>
            </w:r>
          </w:p>
        </w:tc>
        <w:tc>
          <w:tcPr>
            <w:tcW w:w="2381" w:type="dxa"/>
            <w:vMerge w:val="restart"/>
            <w:tcBorders>
              <w:bottom w:val="nil"/>
            </w:tcBorders>
            <w:vAlign w:val="center"/>
          </w:tcPr>
          <w:p w:rsidR="0079010A" w:rsidRDefault="0079010A">
            <w:pPr>
              <w:pStyle w:val="ConsPlusNormal"/>
              <w:jc w:val="center"/>
            </w:pPr>
            <w:r>
              <w:t>реклоузеры номинальным током до 100 А включительно</w:t>
            </w:r>
          </w:p>
        </w:tc>
        <w:tc>
          <w:tcPr>
            <w:tcW w:w="1531" w:type="dxa"/>
            <w:vMerge w:val="restart"/>
            <w:tcBorders>
              <w:bottom w:val="nil"/>
            </w:tcBorders>
            <w:vAlign w:val="center"/>
          </w:tcPr>
          <w:p w:rsidR="0079010A" w:rsidRDefault="0079010A">
            <w:pPr>
              <w:pStyle w:val="ConsPlusNormal"/>
              <w:jc w:val="center"/>
            </w:pPr>
            <w:r>
              <w:t>рублей/шт.</w:t>
            </w:r>
          </w:p>
        </w:tc>
        <w:tc>
          <w:tcPr>
            <w:tcW w:w="1701" w:type="dxa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  <w:tcBorders>
              <w:bottom w:val="nil"/>
            </w:tcBorders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С4.1.1 не город 1 - 20 кВ</w:t>
            </w:r>
          </w:p>
        </w:tc>
        <w:tc>
          <w:tcPr>
            <w:tcW w:w="2381" w:type="dxa"/>
            <w:vMerge/>
            <w:tcBorders>
              <w:bottom w:val="nil"/>
            </w:tcBorders>
          </w:tcPr>
          <w:p w:rsidR="0079010A" w:rsidRDefault="0079010A"/>
        </w:tc>
        <w:tc>
          <w:tcPr>
            <w:tcW w:w="1531" w:type="dxa"/>
            <w:vMerge/>
            <w:tcBorders>
              <w:bottom w:val="nil"/>
            </w:tcBorders>
          </w:tcPr>
          <w:p w:rsidR="0079010A" w:rsidRDefault="0079010A"/>
        </w:tc>
        <w:tc>
          <w:tcPr>
            <w:tcW w:w="1701" w:type="dxa"/>
          </w:tcPr>
          <w:p w:rsidR="0079010A" w:rsidRDefault="0079010A">
            <w:pPr>
              <w:pStyle w:val="ConsPlusNormal"/>
              <w:jc w:val="center"/>
            </w:pPr>
            <w:r>
              <w:t>1161806,31</w:t>
            </w:r>
          </w:p>
        </w:tc>
      </w:tr>
      <w:tr w:rsidR="0079010A">
        <w:tc>
          <w:tcPr>
            <w:tcW w:w="1247" w:type="dxa"/>
            <w:vMerge/>
            <w:tcBorders>
              <w:bottom w:val="nil"/>
            </w:tcBorders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С4.1.1 не город 35 кВ</w:t>
            </w:r>
          </w:p>
        </w:tc>
        <w:tc>
          <w:tcPr>
            <w:tcW w:w="2381" w:type="dxa"/>
            <w:vMerge/>
            <w:tcBorders>
              <w:bottom w:val="nil"/>
            </w:tcBorders>
          </w:tcPr>
          <w:p w:rsidR="0079010A" w:rsidRDefault="0079010A"/>
        </w:tc>
        <w:tc>
          <w:tcPr>
            <w:tcW w:w="1531" w:type="dxa"/>
            <w:vMerge/>
            <w:tcBorders>
              <w:bottom w:val="nil"/>
            </w:tcBorders>
          </w:tcPr>
          <w:p w:rsidR="0079010A" w:rsidRDefault="0079010A"/>
        </w:tc>
        <w:tc>
          <w:tcPr>
            <w:tcW w:w="1701" w:type="dxa"/>
          </w:tcPr>
          <w:p w:rsidR="0079010A" w:rsidRDefault="0079010A">
            <w:pPr>
              <w:pStyle w:val="ConsPlusNormal"/>
            </w:pPr>
          </w:p>
        </w:tc>
      </w:tr>
      <w:tr w:rsidR="0079010A">
        <w:tblPrEx>
          <w:tblBorders>
            <w:insideH w:val="nil"/>
          </w:tblBorders>
        </w:tblPrEx>
        <w:tc>
          <w:tcPr>
            <w:tcW w:w="1247" w:type="dxa"/>
            <w:vMerge/>
            <w:tcBorders>
              <w:bottom w:val="nil"/>
            </w:tcBorders>
          </w:tcPr>
          <w:p w:rsidR="0079010A" w:rsidRDefault="0079010A"/>
        </w:tc>
        <w:tc>
          <w:tcPr>
            <w:tcW w:w="1928" w:type="dxa"/>
            <w:tcBorders>
              <w:bottom w:val="nil"/>
            </w:tcBorders>
          </w:tcPr>
          <w:p w:rsidR="0079010A" w:rsidRDefault="0079010A">
            <w:pPr>
              <w:pStyle w:val="ConsPlusNormal"/>
            </w:pPr>
            <w:r>
              <w:t>С4.1.1 не город 110 кВ и выше</w:t>
            </w:r>
          </w:p>
        </w:tc>
        <w:tc>
          <w:tcPr>
            <w:tcW w:w="2381" w:type="dxa"/>
            <w:vMerge/>
            <w:tcBorders>
              <w:bottom w:val="nil"/>
            </w:tcBorders>
          </w:tcPr>
          <w:p w:rsidR="0079010A" w:rsidRDefault="0079010A"/>
        </w:tc>
        <w:tc>
          <w:tcPr>
            <w:tcW w:w="1531" w:type="dxa"/>
            <w:vMerge/>
            <w:tcBorders>
              <w:bottom w:val="nil"/>
            </w:tcBorders>
          </w:tcPr>
          <w:p w:rsidR="0079010A" w:rsidRDefault="0079010A"/>
        </w:tc>
        <w:tc>
          <w:tcPr>
            <w:tcW w:w="1701" w:type="dxa"/>
            <w:tcBorders>
              <w:bottom w:val="nil"/>
            </w:tcBorders>
          </w:tcPr>
          <w:p w:rsidR="0079010A" w:rsidRDefault="0079010A">
            <w:pPr>
              <w:pStyle w:val="ConsPlusNormal"/>
            </w:pPr>
          </w:p>
        </w:tc>
      </w:tr>
      <w:tr w:rsidR="0079010A">
        <w:tblPrEx>
          <w:tblBorders>
            <w:insideH w:val="nil"/>
          </w:tblBorders>
        </w:tblPrEx>
        <w:tc>
          <w:tcPr>
            <w:tcW w:w="8788" w:type="dxa"/>
            <w:gridSpan w:val="5"/>
            <w:tcBorders>
              <w:top w:val="nil"/>
            </w:tcBorders>
          </w:tcPr>
          <w:p w:rsidR="0079010A" w:rsidRDefault="0079010A">
            <w:pPr>
              <w:pStyle w:val="ConsPlusNormal"/>
              <w:jc w:val="both"/>
            </w:pPr>
            <w:r>
              <w:t xml:space="preserve">(п. II.4.1.1 введен </w:t>
            </w:r>
            <w:hyperlink r:id="rId26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16.04.2021 N 21)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II.5.1.1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С5.1.1 не город 6(10)/0,4 кВ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однотрансформаторные подстанции (за исключением РТП) мощностью до 25 кВА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31311,43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С5.1.1 не город 20/0,4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II.5.1.2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С5.1.2 не город 6(10)/0,4 кВ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однотрансформаторные подстанции (за исключением РТП) мощностью от 25 до 100 кВА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12566,18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С5.1.2 не город 20/0,4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II.5.1.3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С5.1.3 не город 6(10)/0,4 кВ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однотрансформаторные подстанции (за исключением РТП) мощностью от 100 до 250 кВА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9136,47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С5.1.3 не город 20/0,4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II.5.1.4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С5.1.4 не город 6(10)/0,4 кВ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 xml:space="preserve">однотрансформаторные подстанции (за </w:t>
            </w:r>
            <w:r>
              <w:lastRenderedPageBreak/>
              <w:t>исключением РТП) мощностью от 250 до 400 кВА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lastRenderedPageBreak/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4737,9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С5.1.4 не город 20/0,4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lastRenderedPageBreak/>
              <w:t>II.5.1.5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С5.1.5 не город 6(10)/0,4 кВ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однотрансформаторные подстанции (за исключением РТП) мощностью от 420 до 1000 кВА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914,24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С5.1.5 не город 20/0,4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II.5.1.6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С5.1.6 не город 6(10)/0,4 кВ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однотрансформаторные подстанции (за исключением РТП) мощностью свыше 1000 кВА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1388,85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С5.1.6 не город 20/0,4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II.5.2.4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С5.2.4 не город 6(10)/0,4 кВ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двухтрансформаторные и более подстанции (за исключением РТП) мощностью от 250 до 400 кВА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9502,43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С5.2.4 не город 20/0,4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79010A" w:rsidRDefault="0079010A">
            <w:pPr>
              <w:pStyle w:val="ConsPlusNormal"/>
            </w:pPr>
            <w:r>
              <w:t>II.5.2.5</w:t>
            </w:r>
          </w:p>
        </w:tc>
        <w:tc>
          <w:tcPr>
            <w:tcW w:w="1928" w:type="dxa"/>
            <w:tcBorders>
              <w:bottom w:val="nil"/>
            </w:tcBorders>
          </w:tcPr>
          <w:p w:rsidR="0079010A" w:rsidRDefault="0079010A">
            <w:pPr>
              <w:pStyle w:val="ConsPlusNormal"/>
            </w:pPr>
            <w:r>
              <w:t>С5.2.5 не город 6(10)/0,4кВ</w:t>
            </w:r>
          </w:p>
        </w:tc>
        <w:tc>
          <w:tcPr>
            <w:tcW w:w="2381" w:type="dxa"/>
            <w:tcBorders>
              <w:bottom w:val="nil"/>
            </w:tcBorders>
          </w:tcPr>
          <w:p w:rsidR="0079010A" w:rsidRDefault="0079010A">
            <w:pPr>
              <w:pStyle w:val="ConsPlusNormal"/>
            </w:pPr>
            <w:r>
              <w:t>двухтрансформаторные и более подстанции (за исключением РТП) мощностью от 420 до 1000 кВА включительно</w:t>
            </w:r>
          </w:p>
        </w:tc>
        <w:tc>
          <w:tcPr>
            <w:tcW w:w="1531" w:type="dxa"/>
            <w:tcBorders>
              <w:bottom w:val="nil"/>
            </w:tcBorders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tcBorders>
              <w:bottom w:val="nil"/>
            </w:tcBorders>
          </w:tcPr>
          <w:p w:rsidR="0079010A" w:rsidRDefault="0079010A">
            <w:pPr>
              <w:pStyle w:val="ConsPlusNormal"/>
              <w:jc w:val="right"/>
            </w:pPr>
            <w:r>
              <w:t>5 813,684</w:t>
            </w:r>
          </w:p>
        </w:tc>
      </w:tr>
      <w:tr w:rsidR="0079010A">
        <w:tblPrEx>
          <w:tblBorders>
            <w:insideH w:val="nil"/>
          </w:tblBorders>
        </w:tblPrEx>
        <w:tc>
          <w:tcPr>
            <w:tcW w:w="8788" w:type="dxa"/>
            <w:gridSpan w:val="5"/>
            <w:tcBorders>
              <w:top w:val="nil"/>
            </w:tcBorders>
          </w:tcPr>
          <w:p w:rsidR="0079010A" w:rsidRDefault="0079010A">
            <w:pPr>
              <w:pStyle w:val="ConsPlusNormal"/>
              <w:jc w:val="both"/>
            </w:pPr>
            <w:r>
              <w:t xml:space="preserve">(п. II.5.2.5 введен </w:t>
            </w:r>
            <w:hyperlink r:id="rId27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Управления по регулированию тарифов и энергосбережению Пензенской обл. от 10.03.2021 N 14)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II.5.2.6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С5.2.6 не город 6(10)/0,4 кВ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двухтрансформаторные и более подстанции (за исключением РТП) мощностью свыше 1000 кВА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12483,37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С5.2.6 не город 20/0,4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II.8.1.1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С8.1.1 не город 0,4 кВ и ниже с ТТ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средства коммерческого учета электрической энергии (мощности) однофазные прямого включения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 за точку учета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С8.1.1 не город 0,4 кВ и ниже без ТТ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16685,11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С8.1.1 не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С8.1.1 не город 35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С8.1.1 не город 110 кВ и выше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II.8.2.1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С8.2.1 не город 0,4 кВ и ниже с ТТ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 xml:space="preserve">средства коммерческого учета электрической энергии </w:t>
            </w:r>
            <w:r>
              <w:lastRenderedPageBreak/>
              <w:t>(мощности) трехфазные прямого включения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lastRenderedPageBreak/>
              <w:t>рублей за точку учета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32179,03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 xml:space="preserve">С8.2.1 не город 0,4 </w:t>
            </w:r>
            <w:r>
              <w:lastRenderedPageBreak/>
              <w:t>кВ и ниже без ТТ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28603,35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С8.2.1 не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363602,82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С8.2.1 не город 35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С8.2.1 не город 110 кВ и выше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II.8.2.2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С8.2.2 не город 0,4 кВ и ниже с ТТ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средства коммерческого учета электрической энергии (мощности) трехфазные полукосвенного включения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 за точку учета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28442,23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С8.2.2 не город 0,4 кВ и ниже без ТТ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С8.2.2 не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С8.2.2 не город 35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С8.2.2 не город 110 кВ и выше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II.8.2.3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С8.2.3 не город 0,4 кВ и ниже с ТТ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средства коммерческого учета электрической энергии (мощности) трехфазные косвенного включения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 за точку учета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С8.2.3 не город 0,4 кВ и ниже без ТТ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С8.2.3 не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159294,39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С8.2.3 не город 35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С8.2.3 не город 110 кВ и выше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</w:pPr>
          </w:p>
        </w:tc>
      </w:tr>
    </w:tbl>
    <w:p w:rsidR="0079010A" w:rsidRDefault="0079010A">
      <w:pPr>
        <w:pStyle w:val="ConsPlusNormal"/>
        <w:jc w:val="both"/>
      </w:pPr>
    </w:p>
    <w:p w:rsidR="0079010A" w:rsidRDefault="0079010A">
      <w:pPr>
        <w:pStyle w:val="ConsPlusNormal"/>
        <w:ind w:firstLine="540"/>
        <w:jc w:val="both"/>
      </w:pPr>
      <w:r>
        <w:t>--------------------------------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>Примечание: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>&lt;*&gt; Ставка С1 установлена для случаев технологического присоединения по временной и постоянной схеме электроснабжения.</w:t>
      </w:r>
    </w:p>
    <w:p w:rsidR="0079010A" w:rsidRDefault="0079010A">
      <w:pPr>
        <w:pStyle w:val="ConsPlusNormal"/>
        <w:jc w:val="both"/>
      </w:pPr>
    </w:p>
    <w:p w:rsidR="0079010A" w:rsidRDefault="0079010A">
      <w:pPr>
        <w:pStyle w:val="ConsPlusNormal"/>
        <w:jc w:val="both"/>
      </w:pPr>
    </w:p>
    <w:p w:rsidR="0079010A" w:rsidRDefault="0079010A">
      <w:pPr>
        <w:pStyle w:val="ConsPlusNormal"/>
        <w:jc w:val="both"/>
      </w:pPr>
    </w:p>
    <w:p w:rsidR="0079010A" w:rsidRDefault="0079010A">
      <w:pPr>
        <w:pStyle w:val="ConsPlusNormal"/>
        <w:jc w:val="both"/>
      </w:pPr>
    </w:p>
    <w:p w:rsidR="0079010A" w:rsidRDefault="0079010A">
      <w:pPr>
        <w:pStyle w:val="ConsPlusNormal"/>
        <w:jc w:val="both"/>
      </w:pPr>
    </w:p>
    <w:p w:rsidR="0079010A" w:rsidRDefault="0079010A">
      <w:pPr>
        <w:pStyle w:val="ConsPlusNormal"/>
        <w:jc w:val="right"/>
        <w:outlineLvl w:val="0"/>
      </w:pPr>
      <w:r>
        <w:t>Приложение N 2</w:t>
      </w:r>
    </w:p>
    <w:p w:rsidR="0079010A" w:rsidRDefault="0079010A">
      <w:pPr>
        <w:pStyle w:val="ConsPlusNormal"/>
        <w:jc w:val="right"/>
      </w:pPr>
      <w:r>
        <w:t>к приказу</w:t>
      </w:r>
    </w:p>
    <w:p w:rsidR="0079010A" w:rsidRDefault="0079010A">
      <w:pPr>
        <w:pStyle w:val="ConsPlusNormal"/>
        <w:jc w:val="right"/>
      </w:pPr>
      <w:r>
        <w:t>Управления по регулированию</w:t>
      </w:r>
    </w:p>
    <w:p w:rsidR="0079010A" w:rsidRDefault="0079010A">
      <w:pPr>
        <w:pStyle w:val="ConsPlusNormal"/>
        <w:jc w:val="right"/>
      </w:pPr>
      <w:r>
        <w:t>тарифов и энергосбережению</w:t>
      </w:r>
    </w:p>
    <w:p w:rsidR="0079010A" w:rsidRDefault="0079010A">
      <w:pPr>
        <w:pStyle w:val="ConsPlusNormal"/>
        <w:jc w:val="right"/>
      </w:pPr>
      <w:r>
        <w:lastRenderedPageBreak/>
        <w:t>Пензенской области</w:t>
      </w:r>
    </w:p>
    <w:p w:rsidR="0079010A" w:rsidRDefault="0079010A">
      <w:pPr>
        <w:pStyle w:val="ConsPlusNormal"/>
        <w:jc w:val="right"/>
      </w:pPr>
      <w:r>
        <w:t>от 30 декабря 2020 г. N 223</w:t>
      </w:r>
    </w:p>
    <w:p w:rsidR="0079010A" w:rsidRDefault="0079010A">
      <w:pPr>
        <w:pStyle w:val="ConsPlusNormal"/>
        <w:jc w:val="both"/>
      </w:pPr>
    </w:p>
    <w:p w:rsidR="0079010A" w:rsidRDefault="0079010A">
      <w:pPr>
        <w:pStyle w:val="ConsPlusTitle"/>
        <w:jc w:val="center"/>
      </w:pPr>
      <w:bookmarkStart w:id="1" w:name="P666"/>
      <w:bookmarkEnd w:id="1"/>
      <w:r>
        <w:t>СТАВКИ</w:t>
      </w:r>
    </w:p>
    <w:p w:rsidR="0079010A" w:rsidRDefault="0079010A">
      <w:pPr>
        <w:pStyle w:val="ConsPlusTitle"/>
        <w:jc w:val="center"/>
      </w:pPr>
      <w:r>
        <w:t>ЗА ЕДИНИЦУ МАКСИМАЛЬНОЙ МОЩНОСТИ ДЛЯ ОПРЕДЕЛЕНИЯ РАЗМЕРА</w:t>
      </w:r>
    </w:p>
    <w:p w:rsidR="0079010A" w:rsidRDefault="0079010A">
      <w:pPr>
        <w:pStyle w:val="ConsPlusTitle"/>
        <w:jc w:val="center"/>
      </w:pPr>
      <w:r>
        <w:t>ПЛАТЫ ЗА ТЕХНОЛОГИЧЕСКОЕ ПРИСОЕДИНЕНИЕ ЭНЕРГОПРИНИМАЮЩИХ</w:t>
      </w:r>
    </w:p>
    <w:p w:rsidR="0079010A" w:rsidRDefault="0079010A">
      <w:pPr>
        <w:pStyle w:val="ConsPlusTitle"/>
        <w:jc w:val="center"/>
      </w:pPr>
      <w:r>
        <w:t>УСТРОЙСТВ МАКСИМАЛЬНОЙ МОЩНОСТЬЮ МЕНЕЕ 670 КВТ И НА УРОВНЕ</w:t>
      </w:r>
    </w:p>
    <w:p w:rsidR="0079010A" w:rsidRDefault="0079010A">
      <w:pPr>
        <w:pStyle w:val="ConsPlusTitle"/>
        <w:jc w:val="center"/>
      </w:pPr>
      <w:r>
        <w:t>НАПРЯЖЕНИЯ 20 КВ И МЕНЕЕ К ЭЛЕКТРИЧЕСКИМ СЕТЯМ</w:t>
      </w:r>
    </w:p>
    <w:p w:rsidR="0079010A" w:rsidRDefault="0079010A">
      <w:pPr>
        <w:pStyle w:val="ConsPlusTitle"/>
        <w:jc w:val="center"/>
      </w:pPr>
      <w:r>
        <w:t>ТЕРРИТОРИАЛЬНЫХ СЕТЕВЫХ ОРГАНИЗАЦИЙ НА ТЕРРИТОРИИ</w:t>
      </w:r>
    </w:p>
    <w:p w:rsidR="0079010A" w:rsidRDefault="0079010A">
      <w:pPr>
        <w:pStyle w:val="ConsPlusTitle"/>
        <w:jc w:val="center"/>
      </w:pPr>
      <w:r>
        <w:t>ПЕНЗЕНСКОЙ ОБЛАСТИ</w:t>
      </w:r>
    </w:p>
    <w:p w:rsidR="0079010A" w:rsidRDefault="007901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1928"/>
        <w:gridCol w:w="2381"/>
        <w:gridCol w:w="1531"/>
        <w:gridCol w:w="1701"/>
      </w:tblGrid>
      <w:tr w:rsidR="0079010A">
        <w:tc>
          <w:tcPr>
            <w:tcW w:w="1247" w:type="dxa"/>
            <w:vAlign w:val="center"/>
          </w:tcPr>
          <w:p w:rsidR="0079010A" w:rsidRDefault="0079010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928" w:type="dxa"/>
            <w:vAlign w:val="center"/>
          </w:tcPr>
          <w:p w:rsidR="0079010A" w:rsidRDefault="0079010A">
            <w:pPr>
              <w:pStyle w:val="ConsPlusNormal"/>
              <w:jc w:val="center"/>
            </w:pPr>
            <w:r>
              <w:t>Обозначение</w:t>
            </w:r>
          </w:p>
        </w:tc>
        <w:tc>
          <w:tcPr>
            <w:tcW w:w="2381" w:type="dxa"/>
            <w:vAlign w:val="center"/>
          </w:tcPr>
          <w:p w:rsidR="0079010A" w:rsidRDefault="0079010A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31" w:type="dxa"/>
            <w:vAlign w:val="center"/>
          </w:tcPr>
          <w:p w:rsidR="0079010A" w:rsidRDefault="0079010A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center"/>
            </w:pPr>
            <w:r>
              <w:t>Ставки за единицу максимальной мощности</w:t>
            </w:r>
          </w:p>
        </w:tc>
      </w:tr>
      <w:tr w:rsidR="0079010A">
        <w:tc>
          <w:tcPr>
            <w:tcW w:w="1247" w:type="dxa"/>
            <w:vAlign w:val="center"/>
          </w:tcPr>
          <w:p w:rsidR="0079010A" w:rsidRDefault="0079010A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1</w:t>
            </w:r>
          </w:p>
        </w:tc>
        <w:tc>
          <w:tcPr>
            <w:tcW w:w="2381" w:type="dxa"/>
            <w:vAlign w:val="center"/>
          </w:tcPr>
          <w:p w:rsidR="0079010A" w:rsidRDefault="0079010A">
            <w:pPr>
              <w:pStyle w:val="ConsPlusNormal"/>
            </w:pPr>
            <w:r>
              <w:t>ставка на покрытие расходов на технологическое присоединение энергопринимающих устройств потребителей электрической энергии, объектов электросетевого хозяйства, принадлежащих сетевым организациям и иным лицам, на подготовку и выдачу сетевой организацией технических условий заявителю и проверку сетевой организацией выполнения технических условий заявителем</w:t>
            </w:r>
          </w:p>
        </w:tc>
        <w:tc>
          <w:tcPr>
            <w:tcW w:w="1531" w:type="dxa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609,26</w:t>
            </w:r>
          </w:p>
        </w:tc>
      </w:tr>
      <w:tr w:rsidR="0079010A">
        <w:tc>
          <w:tcPr>
            <w:tcW w:w="1247" w:type="dxa"/>
            <w:vAlign w:val="center"/>
          </w:tcPr>
          <w:p w:rsidR="0079010A" w:rsidRDefault="0079010A">
            <w:pPr>
              <w:pStyle w:val="ConsPlusNormal"/>
              <w:jc w:val="right"/>
            </w:pPr>
            <w:r>
              <w:t>1,1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1.1</w:t>
            </w:r>
          </w:p>
        </w:tc>
        <w:tc>
          <w:tcPr>
            <w:tcW w:w="2381" w:type="dxa"/>
            <w:vAlign w:val="center"/>
          </w:tcPr>
          <w:p w:rsidR="0079010A" w:rsidRDefault="0079010A">
            <w:pPr>
              <w:pStyle w:val="ConsPlusNormal"/>
            </w:pPr>
            <w:r>
              <w:t>ставка на покрытие расходов сетевой организации на подготовку и выдачу сетевой организацией технических условий заявителю</w:t>
            </w:r>
          </w:p>
        </w:tc>
        <w:tc>
          <w:tcPr>
            <w:tcW w:w="1531" w:type="dxa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203,2</w:t>
            </w:r>
          </w:p>
        </w:tc>
      </w:tr>
      <w:tr w:rsidR="0079010A">
        <w:tc>
          <w:tcPr>
            <w:tcW w:w="1247" w:type="dxa"/>
            <w:vAlign w:val="center"/>
          </w:tcPr>
          <w:p w:rsidR="0079010A" w:rsidRDefault="0079010A">
            <w:pPr>
              <w:pStyle w:val="ConsPlusNormal"/>
              <w:jc w:val="right"/>
            </w:pPr>
            <w:r>
              <w:t>1,2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1.2</w:t>
            </w:r>
          </w:p>
        </w:tc>
        <w:tc>
          <w:tcPr>
            <w:tcW w:w="2381" w:type="dxa"/>
            <w:vAlign w:val="center"/>
          </w:tcPr>
          <w:p w:rsidR="0079010A" w:rsidRDefault="0079010A">
            <w:pPr>
              <w:pStyle w:val="ConsPlusNormal"/>
            </w:pPr>
            <w:r>
              <w:t>ставка на покрытие расходов на проверку выполнения сетевой организацией выполнения технических условий заявителем</w:t>
            </w:r>
          </w:p>
        </w:tc>
        <w:tc>
          <w:tcPr>
            <w:tcW w:w="1531" w:type="dxa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406,06</w:t>
            </w:r>
          </w:p>
        </w:tc>
      </w:tr>
      <w:tr w:rsidR="0079010A">
        <w:tc>
          <w:tcPr>
            <w:tcW w:w="8788" w:type="dxa"/>
            <w:gridSpan w:val="5"/>
            <w:vAlign w:val="center"/>
          </w:tcPr>
          <w:p w:rsidR="0079010A" w:rsidRDefault="0079010A">
            <w:pPr>
              <w:pStyle w:val="ConsPlusNormal"/>
              <w:jc w:val="center"/>
              <w:outlineLvl w:val="1"/>
            </w:pPr>
            <w:r>
              <w:lastRenderedPageBreak/>
              <w:t>I. Для территорий городских населенных пунктов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I.2.3.1.4.1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2.3.1.4.1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воздушные линии на железобетонных опорах изолированным алюминиевым проводом сечением до 50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7775,17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2.3.1.4.1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3647,6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I.2.3.1.4.2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2.3.1.4.2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воздушные линии на железобетонных опорах изолированным алюминиевым проводом сечением от 50 до 100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4425,72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2.3.1.4.2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1435,5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I.2.3.1.4.3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2.3.1.4.3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воздушные линии на железобетонных опорах изолированным алюминиевым проводом сечением от 100 до 200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340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2.3.1.4.3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0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I.3.1.2.1.3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3.1.2.1.3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кабельные линии в траншеях многожильные с резиновой и пластмассовой изоляцией сечением провода от 100 до 200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2509,72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3.1.2.1.3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0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I.3.1.2.2.1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3.1.2.2.1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кабельные линии в траншеях многожильные с бумажной изоляцией сечением провода до 50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7415,13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3.1.2.2.1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7939,81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I.3.1.2.2.2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3.1.2.2.2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кабельные линии в траншеях многожильные с бумажной изоляцией сечением провода от 50 до 100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2783,1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3.1.2.2.2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4273,69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I.3.1.2.2.3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 xml:space="preserve">Сmax N 3.1.2.2.3 город 0,4 кВ и </w:t>
            </w:r>
            <w:r>
              <w:lastRenderedPageBreak/>
              <w:t>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lastRenderedPageBreak/>
              <w:t xml:space="preserve">кабельные линии в траншеях </w:t>
            </w:r>
            <w:r>
              <w:lastRenderedPageBreak/>
              <w:t>многожильные с бумажной изоляцией сечением провода от 100 до 200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lastRenderedPageBreak/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2990,44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3.1.2.2.3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2864,15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I.3.1.2.2.4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3.1.2.2.4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кабельные линии в траншеях многожильные с бумажной изоляцией сечением провода от 200 до 500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1987,6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3.1.2.2.4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21454,68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I.3.6.2.2.1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3.6.2.2.1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кабельные линии, прокладываемые путем горизонтального наклонного бурения, многожильные с бумажной изоляцией сечением провода до 50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6746,68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3.6.2.2.1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2389,32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I.3.6.2.2.2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3.6.2.2.2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кабельные линии, прокладываемые путем горизонтального наклонного бурения, многожильные с бумажной изоляцией сечением провода от 50 до 100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2790,95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3.6.2.2.2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300,86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I.3.6.2.2.3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3.6.2.2.3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кабельные линии, прокладываемые путем горизонтального наклонного бурения, многожильные с бумажной изоляцией сечением провода от 100 до 200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3113,17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3.6.2.2.3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2953,87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I.3.6.2.2.4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3.6.2.2.4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кабельные линии, прокладываемые путем горизонтального наклонного бурения, многожильные с бумажной изоляцией сечением провода от 200 до 500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1038,94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3.6.2.2.4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0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lastRenderedPageBreak/>
              <w:t>I.5.1.1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5.1.1 город 6(10)/0,4 кВ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однотрансформаторные подстанции (за исключением РТП) мощностью до 25 кВА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28535,87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5.1.1 город 20/0,4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0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I.5.1.2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5.1.2 город 6(10)/0,4 кВ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однотрансформаторные подстанции (за исключением РТП) мощностью от 25 до 100 кВА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11278,54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5.1.2 город 20/0,4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0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I.5.1.3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5.1.3 город 6(10)/0,4 кВ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однотрансформаторные подстанции (за исключением РТП) мощностью от 100 до 250 кВА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4245,06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5.1.3 город 20/0,4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0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I.5.1.4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5.1.4 город 6(10)/0,4 кВ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однотрансформаторные подстанции (за исключением РТП) мощностью от 250 до 400 кВА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4671,64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5.1.4 город 20/0,4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0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I.5.1.5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5.1.5 город 6(10)/0,4 кВ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однотрансформаторные подстанции (за исключением РТП) мощностью от 420 до 1000 кВА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6496,48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5.1.5 город 20/0,4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0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I.5.2.2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5.2.2 город 6(10)/0,4 кВ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двухтрансформаторные и более подстанции (за исключением РТП) мощностью от 25 до 100 кВА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8375,78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5.2.2 город 20/0,4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0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I.5.2.3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5.2.3 город 6(10)/0,4 кВ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двухтрансформаторные и более подстанции (за исключением РТП) мощностью от 100 до 250 кВА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10243,34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5.2.3 город 20/0,4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0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I.5.2.4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5.2.4 город 6(10)/0,4 кВ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двухтрансформаторные и более подстанции (за исключением РТП) мощностью от 250 до 400 кВА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2250,82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5.2.4 город 20/0,4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0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I.5.2.5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5.2.5 город 6(10)/0,4 кВ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двухтрансформаторные и более подстанции (за исключением РТП) мощностью от 420 до 1000 кВА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4047,14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5.2.5 город 20/0,4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0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I.6.2.5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 xml:space="preserve">Сmax N 6.2.5 город </w:t>
            </w:r>
            <w:r>
              <w:lastRenderedPageBreak/>
              <w:t>6(10)/0,4 кВ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lastRenderedPageBreak/>
              <w:t xml:space="preserve">распределительные </w:t>
            </w:r>
            <w:r>
              <w:lastRenderedPageBreak/>
              <w:t>двухтрансформаторные подстанции мощностью от 420 до 1000 кВА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lastRenderedPageBreak/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0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6.2.5 город 20/0,4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14355,54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I.8.1.1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8.1.1 город 0,4 кВ и ниже с ТТ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средства коммерческого учета электрической энергии (мощности) однофазные прямого включения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0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8.1.1 город 0,4 кВ и ниже без ТТ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254,8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8.1.1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0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I.8.2.1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8.2.1 город 0,4 кВ и ниже с ТТ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средства коммерческого учета электрической энергии (мощности) трехфазные прямого включения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491,4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8.2.1 город 0,4 кВ и ниже без ТТ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436,8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8.2.1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5 552,56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I.8.2.2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8.2.2 город 0,4 кВ и ниже с ТТ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средства коммерческого учета электрической энергии (мощности) трехфазные полукосвенного включения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434,34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8.2.2 город 0,4 кВ и ниже без ТТ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0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8.2.2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0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I.8.2.3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8.2.3 город 0,4 кВ и ниже с ТТ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средства коммерческого учета электрической энергии (мощности) трехфазные косвенного включения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0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8.2.3 город 0,4 кВ и ниже без ТТ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0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8.2.3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2 432,57</w:t>
            </w:r>
          </w:p>
        </w:tc>
      </w:tr>
      <w:tr w:rsidR="0079010A">
        <w:tc>
          <w:tcPr>
            <w:tcW w:w="7087" w:type="dxa"/>
            <w:gridSpan w:val="4"/>
            <w:vAlign w:val="center"/>
          </w:tcPr>
          <w:p w:rsidR="0079010A" w:rsidRDefault="0079010A">
            <w:pPr>
              <w:pStyle w:val="ConsPlusNormal"/>
              <w:jc w:val="center"/>
              <w:outlineLvl w:val="1"/>
            </w:pPr>
            <w:r>
              <w:t>II. Для территорий, не относящихся к городским населенным пунктам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0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II.2.1.1.4.1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2.1.1.4.1 не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воздушные линии на деревянных опорах изолированным алюминиевым проводом сечением до 50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1299,39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2.1.1.4.1 не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0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II.2.3.1.4.1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 xml:space="preserve">Сmax N 2.3.1.4.1 не </w:t>
            </w:r>
            <w:r>
              <w:lastRenderedPageBreak/>
              <w:t>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lastRenderedPageBreak/>
              <w:t xml:space="preserve">воздушные линии на </w:t>
            </w:r>
            <w:r>
              <w:lastRenderedPageBreak/>
              <w:t>железобетонных опорах изолированным алюминиевым проводом сечением до 50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lastRenderedPageBreak/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11891,56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2.3.1.4.1 не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30197,36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II.2.3.1.4.2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2.3.1.4.2 не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воздушные линии на железобетонных опорах изолированным алюминиевым проводом сечением от 50 до 100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3527,37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2.3.1.4.2 не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11152,33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II.2.3.2.3.3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2.3.2.3.3 не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воздушные линии на железобетонных опорах неизолированным сталеалюминиевым проводом сечением от 100 до 200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0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2.3.2.3.3 не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25716,09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II.2.3.2.4.1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2.3.2.4.1 не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воздушные линии на железобетонных опорах неизолированным алюминиевым проводом сечением до 50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0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2.3.2.4.1 не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3842,71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II.3.1.1.1.3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3.1.1.1.3 не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кабельные линии в траншеях одножильные с резиновой и пластмассовой изоляцией сечением провода от 100 до 200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773,64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3.1.1.1.3 не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0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II.3.1.1.2.3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3.1.1.2.3 не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кабельные линии в траншеях одножильные с бумажной изоляцией сечением провода от 100 до 200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0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3.1.1.2.3 не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915,09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II.3.1.2.1.1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3.1.2.1.1 не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 xml:space="preserve">кабельные линии в траншеях многожильные с </w:t>
            </w:r>
            <w:r>
              <w:lastRenderedPageBreak/>
              <w:t>резиновой и пластмассовой изоляцией сечением провода до 50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lastRenderedPageBreak/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32031,13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3.1.2.1.1 не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0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lastRenderedPageBreak/>
              <w:t>II.3.1.2.1.2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3.1.2.1.2 не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кабельные линии в траншеях многожильные с резиновой и пластмассовой изоляцией сечением провода от 50 до 100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10900,54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3.1.2.1.2 не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0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II.3.1.2.2.1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3.1.2.2.1 не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кабельные линии в траншеях многожильные с бумажной изоляцией сечением провода до 50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0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3.1.2.2.1 не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45116,1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II.3.1.2.2.2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3.1.2.2.2 не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кабельные линии в траншеях многожильные с бумажной изоляцией сечением провода от 50 до 100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0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3.1.2.2.2 не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1888,75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II.3.1.2.2.3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3.1.2.2.3 не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кабельные линии в траншеях многожильные с бумажной изоляцией сечением провода от 100 до 200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0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3.1.2.2.3 не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71568,38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II.3.1.2.2.4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3.1.2.2.4 не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кабельные линии в траншеях многожильные с бумажной изоляцией сечением провода от 200 до 500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539,84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3.1.2.2.4 не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3318,72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II.3.6.2.2.1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3.6.2.2.1 не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 xml:space="preserve">кабельные линии, прокладываемые путем горизонтального наклонного бурения, многожильные с </w:t>
            </w:r>
            <w:r>
              <w:lastRenderedPageBreak/>
              <w:t>бумажной изоляцией сечением провода до 50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lastRenderedPageBreak/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0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 xml:space="preserve">Сmax N 3.6.2.2.1 не </w:t>
            </w:r>
            <w:r>
              <w:lastRenderedPageBreak/>
              <w:t>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14755,63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lastRenderedPageBreak/>
              <w:t>II.3.6.2.2.2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3.6.2.2.2 не город 0,4 кВ и ниже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кабельные линии, прокладываемые путем горизонтального наклонного бурения, многожильные с бумажной изоляцией сечением провода от 50 до 100 квадратных мм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0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3.6.2.2.2 не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13343,34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II.5.1.1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5.1.1 не город 6(10)/0,4 кВ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однотрансформаторные подстанции (за исключением РТП) мощностью до 25 кВА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31311,43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5.1.1 не город 20/0,4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0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II.5.1.2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5.1.2 не город 6(10)/0,4 кВ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однотрансформаторные подстанции (за исключением РТП) мощностью от 25 до 100 кВА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12566,18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5.1.2 не город 20/0,4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0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II.5.1.3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5.1.3 не город 6(10)/0,4 кВ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однотрансформаторные подстанции (за исключением РТП) мощностью от 100 до 250 кВА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9136,47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5.1.3 не город 20/0,4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0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II.5.1.4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5.1.4 не город 6(10)/0,4 кВ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однотрансформаторные подстанции (за исключением РТП) мощностью от 250 до 400 кВА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4737,9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5.1.4 не город 20/0,4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0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II.5.1.5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5.1.5 не город 6(10)/0,4 кВ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однотрансформаторные подстанции (за исключением РТП) мощностью от 420 до 1000 кВА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914,24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5.1.5 не город 20/0,4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0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II.5.1.6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5.1.6 не город 6(10)/0,4 кВ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однотрансформаторные подстанции (за исключением РТП) мощностью свыше 1000 кВА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1388,85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5.1.6 не город 20/0,4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0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II.5.2.4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5.2.4 не город 6(10)/0,4 кВ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 xml:space="preserve">двухтрансформаторные и более подстанции (за исключением РТП) мощностью от 250 до </w:t>
            </w:r>
            <w:r>
              <w:lastRenderedPageBreak/>
              <w:t>400 кВА включительно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lastRenderedPageBreak/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9502,43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 xml:space="preserve">Сmax N 5.2.4 не </w:t>
            </w:r>
            <w:r>
              <w:lastRenderedPageBreak/>
              <w:t>город 20/0,4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0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lastRenderedPageBreak/>
              <w:t>II.5.2.6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5.2.6 не город 6(10)/0,4 кВ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двухтрансформаторные и более подстанции (за исключением РТП) мощностью свыше 1000 кВА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12483,37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5.2.6 не город 20/0,4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0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II.8.1.1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8.1.1 не город 0,4 кВ и ниже с ТТ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средства коммерческого учета электрической энергии (мощности) однофазные прямого включения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0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8.1.1 не город 0,4 кВ и ниже без ТТ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254,8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8.1.1 не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0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II.8.2.1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8.2.1 не город 0,4 кВ и ниже с ТТ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средства коммерческого учета электрической энергии (мощности) трехфазные прямого включения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491,4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8.2.1 не город 0,4 кВ и ниже без ТТ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436,8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8.2.1 не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5 552,56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II.8.2.2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8.2.2 не город 0,4 кВ и ниже с ТТ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средства коммерческого учета электрической энергии (мощности) трехфазные полукосвенного включения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434,34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8.2.2 не город 0,4 кВ и ниже без ТТ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0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8.2.2 не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0</w:t>
            </w:r>
          </w:p>
        </w:tc>
      </w:tr>
      <w:tr w:rsidR="0079010A">
        <w:tc>
          <w:tcPr>
            <w:tcW w:w="1247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II.8.2.3</w:t>
            </w:r>
          </w:p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8.2.3 не город 0,4 кВ и ниже с ТТ</w:t>
            </w:r>
          </w:p>
        </w:tc>
        <w:tc>
          <w:tcPr>
            <w:tcW w:w="238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средства коммерческого учета электрической энергии (мощности) трехфазные косвенного включения</w:t>
            </w:r>
          </w:p>
        </w:tc>
        <w:tc>
          <w:tcPr>
            <w:tcW w:w="1531" w:type="dxa"/>
            <w:vMerge w:val="restart"/>
            <w:vAlign w:val="center"/>
          </w:tcPr>
          <w:p w:rsidR="0079010A" w:rsidRDefault="0079010A">
            <w:pPr>
              <w:pStyle w:val="ConsPlusNormal"/>
            </w:pPr>
            <w:r>
              <w:t>рублей/кВт</w:t>
            </w:r>
          </w:p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0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8.2.3 не город 0,4 кВ и ниже без ТТ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0</w:t>
            </w:r>
          </w:p>
        </w:tc>
      </w:tr>
      <w:tr w:rsidR="0079010A">
        <w:tc>
          <w:tcPr>
            <w:tcW w:w="1247" w:type="dxa"/>
            <w:vMerge/>
          </w:tcPr>
          <w:p w:rsidR="0079010A" w:rsidRDefault="0079010A"/>
        </w:tc>
        <w:tc>
          <w:tcPr>
            <w:tcW w:w="1928" w:type="dxa"/>
          </w:tcPr>
          <w:p w:rsidR="0079010A" w:rsidRDefault="0079010A">
            <w:pPr>
              <w:pStyle w:val="ConsPlusNormal"/>
            </w:pPr>
            <w:r>
              <w:t>Сmax N 8.2.3 не город 1 - 20 кВ</w:t>
            </w:r>
          </w:p>
        </w:tc>
        <w:tc>
          <w:tcPr>
            <w:tcW w:w="2381" w:type="dxa"/>
            <w:vMerge/>
          </w:tcPr>
          <w:p w:rsidR="0079010A" w:rsidRDefault="0079010A"/>
        </w:tc>
        <w:tc>
          <w:tcPr>
            <w:tcW w:w="1531" w:type="dxa"/>
            <w:vMerge/>
          </w:tcPr>
          <w:p w:rsidR="0079010A" w:rsidRDefault="0079010A"/>
        </w:tc>
        <w:tc>
          <w:tcPr>
            <w:tcW w:w="1701" w:type="dxa"/>
            <w:vAlign w:val="bottom"/>
          </w:tcPr>
          <w:p w:rsidR="0079010A" w:rsidRDefault="0079010A">
            <w:pPr>
              <w:pStyle w:val="ConsPlusNormal"/>
              <w:jc w:val="right"/>
            </w:pPr>
            <w:r>
              <w:t>2 432,57</w:t>
            </w:r>
          </w:p>
        </w:tc>
      </w:tr>
    </w:tbl>
    <w:p w:rsidR="0079010A" w:rsidRDefault="0079010A">
      <w:pPr>
        <w:pStyle w:val="ConsPlusNormal"/>
        <w:jc w:val="both"/>
      </w:pPr>
    </w:p>
    <w:p w:rsidR="0079010A" w:rsidRDefault="0079010A">
      <w:pPr>
        <w:pStyle w:val="ConsPlusNormal"/>
        <w:ind w:firstLine="540"/>
        <w:jc w:val="both"/>
      </w:pPr>
      <w:r>
        <w:t>--------------------------------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>Примечание: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lastRenderedPageBreak/>
        <w:t>&lt;*&gt; Ставка Сmax N 1 установлена для случаев технологического присоединения по временной и постоянной схеме электроснабжения.</w:t>
      </w:r>
    </w:p>
    <w:p w:rsidR="0079010A" w:rsidRDefault="0079010A">
      <w:pPr>
        <w:pStyle w:val="ConsPlusNormal"/>
        <w:jc w:val="both"/>
      </w:pPr>
    </w:p>
    <w:p w:rsidR="0079010A" w:rsidRDefault="0079010A">
      <w:pPr>
        <w:pStyle w:val="ConsPlusNormal"/>
        <w:jc w:val="both"/>
      </w:pPr>
    </w:p>
    <w:p w:rsidR="0079010A" w:rsidRDefault="0079010A">
      <w:pPr>
        <w:pStyle w:val="ConsPlusNormal"/>
        <w:jc w:val="both"/>
      </w:pPr>
    </w:p>
    <w:p w:rsidR="0079010A" w:rsidRDefault="0079010A">
      <w:pPr>
        <w:pStyle w:val="ConsPlusNormal"/>
        <w:jc w:val="both"/>
      </w:pPr>
    </w:p>
    <w:p w:rsidR="0079010A" w:rsidRDefault="0079010A">
      <w:pPr>
        <w:pStyle w:val="ConsPlusNormal"/>
        <w:jc w:val="both"/>
      </w:pPr>
    </w:p>
    <w:p w:rsidR="0079010A" w:rsidRDefault="0079010A">
      <w:pPr>
        <w:pStyle w:val="ConsPlusNormal"/>
        <w:jc w:val="right"/>
        <w:outlineLvl w:val="0"/>
      </w:pPr>
      <w:r>
        <w:t>Приложение N 3</w:t>
      </w:r>
    </w:p>
    <w:p w:rsidR="0079010A" w:rsidRDefault="0079010A">
      <w:pPr>
        <w:pStyle w:val="ConsPlusNormal"/>
        <w:jc w:val="right"/>
      </w:pPr>
      <w:r>
        <w:t>к приказу</w:t>
      </w:r>
    </w:p>
    <w:p w:rsidR="0079010A" w:rsidRDefault="0079010A">
      <w:pPr>
        <w:pStyle w:val="ConsPlusNormal"/>
        <w:jc w:val="right"/>
      </w:pPr>
      <w:r>
        <w:t>Управления по регулированию</w:t>
      </w:r>
    </w:p>
    <w:p w:rsidR="0079010A" w:rsidRDefault="0079010A">
      <w:pPr>
        <w:pStyle w:val="ConsPlusNormal"/>
        <w:jc w:val="right"/>
      </w:pPr>
      <w:r>
        <w:t>тарифов и энергосбережению</w:t>
      </w:r>
    </w:p>
    <w:p w:rsidR="0079010A" w:rsidRDefault="0079010A">
      <w:pPr>
        <w:pStyle w:val="ConsPlusNormal"/>
        <w:jc w:val="right"/>
      </w:pPr>
      <w:r>
        <w:t>Пензенской области</w:t>
      </w:r>
    </w:p>
    <w:p w:rsidR="0079010A" w:rsidRDefault="0079010A">
      <w:pPr>
        <w:pStyle w:val="ConsPlusNormal"/>
        <w:jc w:val="right"/>
      </w:pPr>
      <w:r>
        <w:t>от 30 декабря 2020 г. N 223</w:t>
      </w:r>
    </w:p>
    <w:p w:rsidR="0079010A" w:rsidRDefault="0079010A">
      <w:pPr>
        <w:pStyle w:val="ConsPlusNormal"/>
        <w:jc w:val="both"/>
      </w:pPr>
    </w:p>
    <w:p w:rsidR="0079010A" w:rsidRDefault="0079010A">
      <w:pPr>
        <w:pStyle w:val="ConsPlusTitle"/>
        <w:jc w:val="center"/>
      </w:pPr>
      <w:bookmarkStart w:id="2" w:name="P1100"/>
      <w:bookmarkEnd w:id="2"/>
      <w:r>
        <w:t>ФОРМУЛЫ</w:t>
      </w:r>
    </w:p>
    <w:p w:rsidR="0079010A" w:rsidRDefault="0079010A">
      <w:pPr>
        <w:pStyle w:val="ConsPlusTitle"/>
        <w:jc w:val="center"/>
      </w:pPr>
      <w:r>
        <w:t>ДЛЯ РАСЧЕТА ПЛАТЫ ЗА ТЕХНОЛОГИЧЕСКОЕ ПРИСОЕДИНЕНИЕ</w:t>
      </w:r>
    </w:p>
    <w:p w:rsidR="0079010A" w:rsidRDefault="0079010A">
      <w:pPr>
        <w:pStyle w:val="ConsPlusTitle"/>
        <w:jc w:val="center"/>
      </w:pPr>
      <w:r>
        <w:t>К ЭЛЕКТРИЧЕСКИМ СЕТЯМ ТЕРРИТОРИАЛЬНЫХ СЕТЕВЫХ ОРГАНИЗАЦИЙ</w:t>
      </w:r>
    </w:p>
    <w:p w:rsidR="0079010A" w:rsidRDefault="0079010A">
      <w:pPr>
        <w:pStyle w:val="ConsPlusTitle"/>
        <w:jc w:val="center"/>
      </w:pPr>
      <w:r>
        <w:t>ПЕНЗЕНСКОЙ ОБЛАСТИ</w:t>
      </w:r>
    </w:p>
    <w:p w:rsidR="0079010A" w:rsidRDefault="0079010A">
      <w:pPr>
        <w:pStyle w:val="ConsPlusNormal"/>
        <w:jc w:val="both"/>
      </w:pPr>
    </w:p>
    <w:p w:rsidR="0079010A" w:rsidRDefault="0079010A">
      <w:pPr>
        <w:pStyle w:val="ConsPlusNormal"/>
        <w:ind w:firstLine="540"/>
        <w:jc w:val="both"/>
      </w:pPr>
      <w:r>
        <w:t>1. Плата за технологическое присоединение Заявителя, при котором отсутствует необходимость реализации мероприятий "последней мили", рассчитывается по формуле:</w:t>
      </w:r>
    </w:p>
    <w:p w:rsidR="0079010A" w:rsidRDefault="0079010A">
      <w:pPr>
        <w:pStyle w:val="ConsPlusNormal"/>
        <w:jc w:val="both"/>
      </w:pPr>
    </w:p>
    <w:p w:rsidR="0079010A" w:rsidRDefault="0079010A">
      <w:pPr>
        <w:pStyle w:val="ConsPlusNormal"/>
        <w:ind w:firstLine="540"/>
        <w:jc w:val="both"/>
      </w:pPr>
      <w:r>
        <w:t>П</w:t>
      </w:r>
      <w:r>
        <w:rPr>
          <w:vertAlign w:val="subscript"/>
        </w:rPr>
        <w:t>ТП</w:t>
      </w:r>
      <w:r>
        <w:t xml:space="preserve"> = С</w:t>
      </w:r>
      <w:r>
        <w:rPr>
          <w:vertAlign w:val="subscript"/>
        </w:rPr>
        <w:t>1</w:t>
      </w:r>
      <w:r>
        <w:t xml:space="preserve"> + С</w:t>
      </w:r>
      <w:r>
        <w:rPr>
          <w:vertAlign w:val="subscript"/>
        </w:rPr>
        <w:t>8i</w:t>
      </w:r>
      <w:r>
        <w:t xml:space="preserve"> * n (руб.), (1)</w:t>
      </w:r>
    </w:p>
    <w:p w:rsidR="0079010A" w:rsidRDefault="0079010A">
      <w:pPr>
        <w:pStyle w:val="ConsPlusNormal"/>
        <w:jc w:val="both"/>
      </w:pPr>
    </w:p>
    <w:p w:rsidR="0079010A" w:rsidRDefault="0079010A">
      <w:pPr>
        <w:pStyle w:val="ConsPlusNormal"/>
        <w:ind w:firstLine="540"/>
        <w:jc w:val="both"/>
      </w:pPr>
      <w:r>
        <w:t>где: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>П</w:t>
      </w:r>
      <w:r>
        <w:rPr>
          <w:vertAlign w:val="subscript"/>
        </w:rPr>
        <w:t>ТП</w:t>
      </w:r>
      <w:r>
        <w:t xml:space="preserve"> - плата за технологическое присоединение;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>С</w:t>
      </w:r>
      <w:r>
        <w:rPr>
          <w:vertAlign w:val="subscript"/>
        </w:rPr>
        <w:t>1</w:t>
      </w:r>
      <w:r>
        <w:t>, С</w:t>
      </w:r>
      <w:r>
        <w:rPr>
          <w:vertAlign w:val="subscript"/>
        </w:rPr>
        <w:t>8i</w:t>
      </w:r>
      <w:r>
        <w:t xml:space="preserve"> - стандартизированные тарифные </w:t>
      </w:r>
      <w:hyperlink w:anchor="P39" w:history="1">
        <w:r>
          <w:rPr>
            <w:color w:val="0000FF"/>
          </w:rPr>
          <w:t>ставки</w:t>
        </w:r>
      </w:hyperlink>
      <w:r>
        <w:t>, согласно приложению N 1 к настоящему приказу;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>n - количество точек учета.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>2. Плата за технологическое присоединение Заявителя, при реализации которого согласно техническим условиям предусматриваются мероприятия "последней мили" по прокладке воздушных и (или) кабельных линий, рассчитывается по формуле:</w:t>
      </w:r>
    </w:p>
    <w:p w:rsidR="0079010A" w:rsidRDefault="0079010A">
      <w:pPr>
        <w:pStyle w:val="ConsPlusNormal"/>
        <w:jc w:val="both"/>
      </w:pPr>
    </w:p>
    <w:p w:rsidR="0079010A" w:rsidRDefault="0079010A">
      <w:pPr>
        <w:pStyle w:val="ConsPlusNormal"/>
        <w:ind w:firstLine="540"/>
        <w:jc w:val="both"/>
      </w:pPr>
      <w:r>
        <w:t>ПТП = С1 + (С2i и (или) С3i x Li) + С</w:t>
      </w:r>
      <w:r>
        <w:rPr>
          <w:vertAlign w:val="subscript"/>
        </w:rPr>
        <w:t>8i</w:t>
      </w:r>
      <w:r>
        <w:t xml:space="preserve"> * n (руб.), (2)</w:t>
      </w:r>
    </w:p>
    <w:p w:rsidR="0079010A" w:rsidRDefault="0079010A">
      <w:pPr>
        <w:pStyle w:val="ConsPlusNormal"/>
        <w:jc w:val="both"/>
      </w:pPr>
    </w:p>
    <w:p w:rsidR="0079010A" w:rsidRDefault="0079010A">
      <w:pPr>
        <w:pStyle w:val="ConsPlusNormal"/>
        <w:ind w:firstLine="540"/>
        <w:jc w:val="both"/>
      </w:pPr>
      <w:r>
        <w:t>где: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>П</w:t>
      </w:r>
      <w:r>
        <w:rPr>
          <w:vertAlign w:val="subscript"/>
        </w:rPr>
        <w:t>ТП</w:t>
      </w:r>
      <w:r>
        <w:t xml:space="preserve"> - плата за технологическое присоединение;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>С</w:t>
      </w:r>
      <w:r>
        <w:rPr>
          <w:vertAlign w:val="subscript"/>
        </w:rPr>
        <w:t>1</w:t>
      </w:r>
      <w:r>
        <w:t>, С</w:t>
      </w:r>
      <w:r>
        <w:rPr>
          <w:vertAlign w:val="subscript"/>
        </w:rPr>
        <w:t>2i</w:t>
      </w:r>
      <w:r>
        <w:t>, С</w:t>
      </w:r>
      <w:r>
        <w:rPr>
          <w:vertAlign w:val="subscript"/>
        </w:rPr>
        <w:t>3i</w:t>
      </w:r>
      <w:r>
        <w:t>, С</w:t>
      </w:r>
      <w:r>
        <w:rPr>
          <w:vertAlign w:val="subscript"/>
        </w:rPr>
        <w:t>8i</w:t>
      </w:r>
      <w:r>
        <w:t xml:space="preserve"> - стандартизированные тарифные </w:t>
      </w:r>
      <w:hyperlink w:anchor="P39" w:history="1">
        <w:r>
          <w:rPr>
            <w:color w:val="0000FF"/>
          </w:rPr>
          <w:t>ставки</w:t>
        </w:r>
      </w:hyperlink>
      <w:r>
        <w:t xml:space="preserve"> согласно приложению N 1 к настоящему приказу;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>n - количество точек учета;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>L</w:t>
      </w:r>
      <w:r>
        <w:rPr>
          <w:vertAlign w:val="subscript"/>
        </w:rPr>
        <w:t>i</w:t>
      </w:r>
      <w:r>
        <w:t xml:space="preserve"> - суммарная протяженность воздушных и (или) кабельных линий на i-том уровне напряжения, строительство которых предусмотрено согласно выданных технических условий для технологического присоединения (км).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 xml:space="preserve">3. Плата за технологическое присоединение Заявителя, при реализации которого согласно техническим условиям предусматриваются мероприятия "последней мили" по строительству пунктов секционирования (реклоузеров, распределительных пунктов, переключательных пунктов </w:t>
      </w:r>
      <w:r>
        <w:lastRenderedPageBreak/>
        <w:t>рассчитывается по формуле:</w:t>
      </w:r>
    </w:p>
    <w:p w:rsidR="0079010A" w:rsidRDefault="0079010A">
      <w:pPr>
        <w:pStyle w:val="ConsPlusNormal"/>
        <w:jc w:val="both"/>
      </w:pPr>
    </w:p>
    <w:p w:rsidR="0079010A" w:rsidRDefault="0079010A">
      <w:pPr>
        <w:pStyle w:val="ConsPlusNormal"/>
        <w:ind w:firstLine="540"/>
        <w:jc w:val="both"/>
      </w:pPr>
      <w:r>
        <w:t>П</w:t>
      </w:r>
      <w:r>
        <w:rPr>
          <w:vertAlign w:val="subscript"/>
        </w:rPr>
        <w:t>ТП</w:t>
      </w:r>
      <w:r>
        <w:t xml:space="preserve"> = С</w:t>
      </w:r>
      <w:r>
        <w:rPr>
          <w:vertAlign w:val="subscript"/>
        </w:rPr>
        <w:t>1</w:t>
      </w:r>
      <w:r>
        <w:t xml:space="preserve"> + (С</w:t>
      </w:r>
      <w:r>
        <w:rPr>
          <w:vertAlign w:val="subscript"/>
        </w:rPr>
        <w:t>4i</w:t>
      </w:r>
      <w:r>
        <w:t xml:space="preserve"> x q</w:t>
      </w:r>
      <w:r>
        <w:rPr>
          <w:vertAlign w:val="subscript"/>
        </w:rPr>
        <w:t>i</w:t>
      </w:r>
      <w:r>
        <w:t>) + С</w:t>
      </w:r>
      <w:r>
        <w:rPr>
          <w:vertAlign w:val="subscript"/>
        </w:rPr>
        <w:t>8i</w:t>
      </w:r>
      <w:r>
        <w:t xml:space="preserve"> * n (руб.), (3)</w:t>
      </w:r>
    </w:p>
    <w:p w:rsidR="0079010A" w:rsidRDefault="0079010A">
      <w:pPr>
        <w:pStyle w:val="ConsPlusNormal"/>
        <w:jc w:val="both"/>
      </w:pPr>
    </w:p>
    <w:p w:rsidR="0079010A" w:rsidRDefault="0079010A">
      <w:pPr>
        <w:pStyle w:val="ConsPlusNormal"/>
        <w:ind w:firstLine="540"/>
        <w:jc w:val="both"/>
      </w:pPr>
      <w:r>
        <w:t>где: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>П</w:t>
      </w:r>
      <w:r>
        <w:rPr>
          <w:vertAlign w:val="subscript"/>
        </w:rPr>
        <w:t>ТП</w:t>
      </w:r>
      <w:r>
        <w:t xml:space="preserve"> - плата за технологическое присоединение;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>С</w:t>
      </w:r>
      <w:r>
        <w:rPr>
          <w:vertAlign w:val="subscript"/>
        </w:rPr>
        <w:t>1</w:t>
      </w:r>
      <w:r>
        <w:t>, С</w:t>
      </w:r>
      <w:r>
        <w:rPr>
          <w:vertAlign w:val="subscript"/>
        </w:rPr>
        <w:t>4i</w:t>
      </w:r>
      <w:r>
        <w:t>, С</w:t>
      </w:r>
      <w:r>
        <w:rPr>
          <w:vertAlign w:val="subscript"/>
        </w:rPr>
        <w:t>8i</w:t>
      </w:r>
      <w:r>
        <w:t xml:space="preserve"> - стандартизированные тарифные </w:t>
      </w:r>
      <w:hyperlink w:anchor="P39" w:history="1">
        <w:r>
          <w:rPr>
            <w:color w:val="0000FF"/>
          </w:rPr>
          <w:t>ставки</w:t>
        </w:r>
      </w:hyperlink>
      <w:r>
        <w:t xml:space="preserve"> согласно приложению N 1 к настоящему приказу;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>n - количество точек учета;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</w:t>
      </w:r>
      <w:r>
        <w:t xml:space="preserve"> - количество пунктов секционирования (реклоузеров, распределительных пунктов, переключательных пунктов).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>4. Плата за технологическое присоединение Заявителя, при реализации которого согласно техническим условиям предусматриваются мероприятия "последней мили" по строительству комплектных трансформаторных подстанций (КТП), распределительных трансформаторных подстанций (РТП), а также центров питания, подстанций уровнем напряжения 35 кВ и выше (ПС), рассчитывается по формуле:</w:t>
      </w:r>
    </w:p>
    <w:p w:rsidR="0079010A" w:rsidRDefault="0079010A">
      <w:pPr>
        <w:pStyle w:val="ConsPlusNormal"/>
        <w:jc w:val="both"/>
      </w:pPr>
    </w:p>
    <w:p w:rsidR="0079010A" w:rsidRDefault="0079010A">
      <w:pPr>
        <w:pStyle w:val="ConsPlusNormal"/>
        <w:ind w:firstLine="540"/>
        <w:jc w:val="both"/>
      </w:pPr>
      <w:r>
        <w:t>П</w:t>
      </w:r>
      <w:r>
        <w:rPr>
          <w:vertAlign w:val="subscript"/>
        </w:rPr>
        <w:t>ТП</w:t>
      </w:r>
      <w:r>
        <w:t xml:space="preserve"> = С</w:t>
      </w:r>
      <w:r>
        <w:rPr>
          <w:vertAlign w:val="subscript"/>
        </w:rPr>
        <w:t>1</w:t>
      </w:r>
      <w:r>
        <w:t xml:space="preserve"> + (С</w:t>
      </w:r>
      <w:r>
        <w:rPr>
          <w:vertAlign w:val="subscript"/>
        </w:rPr>
        <w:t>5i и (или)</w:t>
      </w:r>
      <w:r>
        <w:t xml:space="preserve"> С</w:t>
      </w:r>
      <w:r>
        <w:rPr>
          <w:vertAlign w:val="subscript"/>
        </w:rPr>
        <w:t>6i</w:t>
      </w:r>
      <w:r>
        <w:t>; С</w:t>
      </w:r>
      <w:r>
        <w:rPr>
          <w:vertAlign w:val="subscript"/>
        </w:rPr>
        <w:t>7i</w:t>
      </w:r>
      <w:r>
        <w:t xml:space="preserve"> x N</w:t>
      </w:r>
      <w:r>
        <w:rPr>
          <w:vertAlign w:val="subscript"/>
        </w:rPr>
        <w:t>i</w:t>
      </w:r>
      <w:r>
        <w:t>) + С</w:t>
      </w:r>
      <w:r>
        <w:rPr>
          <w:vertAlign w:val="subscript"/>
        </w:rPr>
        <w:t>8i</w:t>
      </w:r>
      <w:r>
        <w:t xml:space="preserve"> * n, (руб.), (4)</w:t>
      </w:r>
    </w:p>
    <w:p w:rsidR="0079010A" w:rsidRDefault="0079010A">
      <w:pPr>
        <w:pStyle w:val="ConsPlusNormal"/>
        <w:jc w:val="both"/>
      </w:pPr>
    </w:p>
    <w:p w:rsidR="0079010A" w:rsidRDefault="0079010A">
      <w:pPr>
        <w:pStyle w:val="ConsPlusNormal"/>
        <w:ind w:firstLine="540"/>
        <w:jc w:val="both"/>
      </w:pPr>
      <w:r>
        <w:t>где: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>П</w:t>
      </w:r>
      <w:r>
        <w:rPr>
          <w:vertAlign w:val="subscript"/>
        </w:rPr>
        <w:t>ТП</w:t>
      </w:r>
      <w:r>
        <w:t xml:space="preserve"> - плата за технологическое присоединение;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>С</w:t>
      </w:r>
      <w:r>
        <w:rPr>
          <w:vertAlign w:val="subscript"/>
        </w:rPr>
        <w:t>1</w:t>
      </w:r>
      <w:r>
        <w:t>, С</w:t>
      </w:r>
      <w:r>
        <w:rPr>
          <w:vertAlign w:val="subscript"/>
        </w:rPr>
        <w:t>5i</w:t>
      </w:r>
      <w:r>
        <w:t>, С</w:t>
      </w:r>
      <w:r>
        <w:rPr>
          <w:vertAlign w:val="subscript"/>
        </w:rPr>
        <w:t>6i</w:t>
      </w:r>
      <w:r>
        <w:t>, С</w:t>
      </w:r>
      <w:r>
        <w:rPr>
          <w:vertAlign w:val="subscript"/>
        </w:rPr>
        <w:t>7i</w:t>
      </w:r>
      <w:r>
        <w:t>, С</w:t>
      </w:r>
      <w:r>
        <w:rPr>
          <w:vertAlign w:val="subscript"/>
        </w:rPr>
        <w:t>8i</w:t>
      </w:r>
      <w:r>
        <w:t xml:space="preserve"> - стандартизированные тарифные </w:t>
      </w:r>
      <w:hyperlink w:anchor="P39" w:history="1">
        <w:r>
          <w:rPr>
            <w:color w:val="0000FF"/>
          </w:rPr>
          <w:t>ставки</w:t>
        </w:r>
      </w:hyperlink>
      <w:r>
        <w:t xml:space="preserve"> согласно приложению N 1 к настоящему приказу;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>n - количество точек учета;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>N</w:t>
      </w:r>
      <w:r>
        <w:rPr>
          <w:vertAlign w:val="subscript"/>
        </w:rPr>
        <w:t>i</w:t>
      </w:r>
      <w:r>
        <w:t xml:space="preserve"> - объем максимальной мощности, указанный в заявке на технологическое присоединение Заявителем (кВт).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>5. Плата за технологическое присоединение Заявителя, при реализации которого согласно техническим условиям предусматриваются мероприятия "последней мили" по прокладке воздушных и (или) кабельных линий и строительству комплектных трансформаторных подстанций (КТП), распределительных трансформаторных подстанций (РТП) с уровнем напряжения до 35 кВ и на строительство центров питания, подстанций уровнем напряжения 35 кВ и выше (ПС), рассчитывается по формуле:</w:t>
      </w:r>
    </w:p>
    <w:p w:rsidR="0079010A" w:rsidRDefault="0079010A">
      <w:pPr>
        <w:pStyle w:val="ConsPlusNormal"/>
        <w:jc w:val="both"/>
      </w:pPr>
    </w:p>
    <w:p w:rsidR="0079010A" w:rsidRDefault="0079010A">
      <w:pPr>
        <w:pStyle w:val="ConsPlusNormal"/>
        <w:ind w:firstLine="540"/>
        <w:jc w:val="both"/>
      </w:pPr>
      <w:r>
        <w:t>ПТП = С1 + (С2i и (или) С3i x Li) + (С5i и (или) С6i; С7i x Ni) + С</w:t>
      </w:r>
      <w:r>
        <w:rPr>
          <w:vertAlign w:val="subscript"/>
        </w:rPr>
        <w:t>8i</w:t>
      </w:r>
      <w:r>
        <w:t xml:space="preserve"> * n, (руб.), (5)</w:t>
      </w:r>
    </w:p>
    <w:p w:rsidR="0079010A" w:rsidRDefault="0079010A">
      <w:pPr>
        <w:pStyle w:val="ConsPlusNormal"/>
        <w:jc w:val="both"/>
      </w:pPr>
    </w:p>
    <w:p w:rsidR="0079010A" w:rsidRDefault="0079010A">
      <w:pPr>
        <w:pStyle w:val="ConsPlusNormal"/>
        <w:ind w:firstLine="540"/>
        <w:jc w:val="both"/>
      </w:pPr>
      <w:r>
        <w:t>где: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>П</w:t>
      </w:r>
      <w:r>
        <w:rPr>
          <w:vertAlign w:val="subscript"/>
        </w:rPr>
        <w:t>ТП</w:t>
      </w:r>
      <w:r>
        <w:t xml:space="preserve"> - плата за технологическое присоединение;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>С</w:t>
      </w:r>
      <w:r>
        <w:rPr>
          <w:vertAlign w:val="subscript"/>
        </w:rPr>
        <w:t>1</w:t>
      </w:r>
      <w:r>
        <w:t>, С</w:t>
      </w:r>
      <w:r>
        <w:rPr>
          <w:vertAlign w:val="subscript"/>
        </w:rPr>
        <w:t>2i</w:t>
      </w:r>
      <w:r>
        <w:t>, С</w:t>
      </w:r>
      <w:r>
        <w:rPr>
          <w:vertAlign w:val="subscript"/>
        </w:rPr>
        <w:t>3i</w:t>
      </w:r>
      <w:r>
        <w:t>, С</w:t>
      </w:r>
      <w:r>
        <w:rPr>
          <w:vertAlign w:val="subscript"/>
        </w:rPr>
        <w:t>5i</w:t>
      </w:r>
      <w:r>
        <w:t>, С</w:t>
      </w:r>
      <w:r>
        <w:rPr>
          <w:vertAlign w:val="subscript"/>
        </w:rPr>
        <w:t>6i</w:t>
      </w:r>
      <w:r>
        <w:t>, С</w:t>
      </w:r>
      <w:r>
        <w:rPr>
          <w:vertAlign w:val="subscript"/>
        </w:rPr>
        <w:t>7i</w:t>
      </w:r>
      <w:r>
        <w:t>, С</w:t>
      </w:r>
      <w:r>
        <w:rPr>
          <w:vertAlign w:val="subscript"/>
        </w:rPr>
        <w:t>8i</w:t>
      </w:r>
      <w:r>
        <w:t xml:space="preserve"> - стандартизированные тарифные </w:t>
      </w:r>
      <w:hyperlink w:anchor="P39" w:history="1">
        <w:r>
          <w:rPr>
            <w:color w:val="0000FF"/>
          </w:rPr>
          <w:t>ставки</w:t>
        </w:r>
      </w:hyperlink>
      <w:r>
        <w:t xml:space="preserve"> согласно приложению N 1 к настоящему приказу;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>n - количество точек учета;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>L</w:t>
      </w:r>
      <w:r>
        <w:rPr>
          <w:vertAlign w:val="subscript"/>
        </w:rPr>
        <w:t>i</w:t>
      </w:r>
      <w:r>
        <w:t xml:space="preserve"> - суммарная протяженность воздушных и (или) кабельных линий на i-том уровне напряжения, строительство которых предусмотрено согласно выданных техническим условиям </w:t>
      </w:r>
      <w:r>
        <w:lastRenderedPageBreak/>
        <w:t>для технологического присоединения (км).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>N</w:t>
      </w:r>
      <w:r>
        <w:rPr>
          <w:vertAlign w:val="subscript"/>
        </w:rPr>
        <w:t>i</w:t>
      </w:r>
      <w:r>
        <w:t xml:space="preserve"> - объем максимальной мощности, указанный в заявке на технологическое присоединение Заявителем (кВт).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>6. Плата за технологическое присоединение с применением ставок за единицу максимальной мощности рассчитывается как сумма произведения ставок за единицу максимальной мощности по мероприятиям, реализуемым сетевой организацией для подключения конкретного Заявителя и объема максимальной мощности по формуле:</w:t>
      </w:r>
    </w:p>
    <w:p w:rsidR="0079010A" w:rsidRDefault="0079010A">
      <w:pPr>
        <w:pStyle w:val="ConsPlusNormal"/>
        <w:jc w:val="both"/>
      </w:pPr>
    </w:p>
    <w:p w:rsidR="0079010A" w:rsidRDefault="0079010A">
      <w:pPr>
        <w:pStyle w:val="ConsPlusNormal"/>
        <w:ind w:firstLine="540"/>
        <w:jc w:val="both"/>
      </w:pPr>
      <w:r>
        <w:t>П</w:t>
      </w:r>
      <w:r>
        <w:rPr>
          <w:vertAlign w:val="subscript"/>
        </w:rPr>
        <w:t>ТП</w:t>
      </w:r>
      <w:r>
        <w:t xml:space="preserve"> = (С</w:t>
      </w:r>
      <w:r>
        <w:rPr>
          <w:vertAlign w:val="subscript"/>
        </w:rPr>
        <w:t>1 maxN</w:t>
      </w:r>
      <w:r>
        <w:t xml:space="preserve"> x N</w:t>
      </w:r>
      <w:r>
        <w:rPr>
          <w:vertAlign w:val="subscript"/>
        </w:rPr>
        <w:t>i</w:t>
      </w:r>
      <w:r>
        <w:t>) + (С</w:t>
      </w:r>
      <w:r>
        <w:rPr>
          <w:vertAlign w:val="subscript"/>
        </w:rPr>
        <w:t>2i maxN</w:t>
      </w:r>
      <w:r>
        <w:t xml:space="preserve"> x N</w:t>
      </w:r>
      <w:r>
        <w:rPr>
          <w:vertAlign w:val="subscript"/>
        </w:rPr>
        <w:t>i</w:t>
      </w:r>
      <w:r>
        <w:t>) + (С</w:t>
      </w:r>
      <w:r>
        <w:rPr>
          <w:vertAlign w:val="subscript"/>
        </w:rPr>
        <w:t>3i maxN</w:t>
      </w:r>
      <w:r>
        <w:t xml:space="preserve"> x N</w:t>
      </w:r>
      <w:r>
        <w:rPr>
          <w:vertAlign w:val="subscript"/>
        </w:rPr>
        <w:t>i</w:t>
      </w:r>
      <w:r>
        <w:t>) + (С</w:t>
      </w:r>
      <w:r>
        <w:rPr>
          <w:vertAlign w:val="subscript"/>
        </w:rPr>
        <w:t>4 maxN</w:t>
      </w:r>
      <w:r>
        <w:t xml:space="preserve"> x N</w:t>
      </w:r>
      <w:r>
        <w:rPr>
          <w:vertAlign w:val="subscript"/>
        </w:rPr>
        <w:t>i</w:t>
      </w:r>
      <w:r>
        <w:t>) + (С</w:t>
      </w:r>
      <w:r>
        <w:rPr>
          <w:vertAlign w:val="subscript"/>
        </w:rPr>
        <w:t>5 maxN</w:t>
      </w:r>
      <w:r>
        <w:t xml:space="preserve"> x N</w:t>
      </w:r>
      <w:r>
        <w:rPr>
          <w:vertAlign w:val="subscript"/>
        </w:rPr>
        <w:t>i</w:t>
      </w:r>
      <w:r>
        <w:t>) + (С</w:t>
      </w:r>
      <w:r>
        <w:rPr>
          <w:vertAlign w:val="subscript"/>
        </w:rPr>
        <w:t>6i maxN</w:t>
      </w:r>
      <w:r>
        <w:t xml:space="preserve"> x N</w:t>
      </w:r>
      <w:r>
        <w:rPr>
          <w:vertAlign w:val="subscript"/>
        </w:rPr>
        <w:t>i</w:t>
      </w:r>
      <w:r>
        <w:t>) + (С</w:t>
      </w:r>
      <w:r>
        <w:rPr>
          <w:vertAlign w:val="subscript"/>
        </w:rPr>
        <w:t>7i maxN</w:t>
      </w:r>
      <w:r>
        <w:t xml:space="preserve"> x N</w:t>
      </w:r>
      <w:r>
        <w:rPr>
          <w:vertAlign w:val="subscript"/>
        </w:rPr>
        <w:t>i</w:t>
      </w:r>
      <w:r>
        <w:t>) + (С</w:t>
      </w:r>
      <w:r>
        <w:rPr>
          <w:vertAlign w:val="subscript"/>
        </w:rPr>
        <w:t>8i maxN</w:t>
      </w:r>
      <w:r>
        <w:t xml:space="preserve"> x N</w:t>
      </w:r>
      <w:r>
        <w:rPr>
          <w:vertAlign w:val="subscript"/>
        </w:rPr>
        <w:t>i</w:t>
      </w:r>
      <w:r>
        <w:t>), (6)</w:t>
      </w:r>
    </w:p>
    <w:p w:rsidR="0079010A" w:rsidRDefault="0079010A">
      <w:pPr>
        <w:pStyle w:val="ConsPlusNormal"/>
        <w:jc w:val="both"/>
      </w:pPr>
    </w:p>
    <w:p w:rsidR="0079010A" w:rsidRDefault="0079010A">
      <w:pPr>
        <w:pStyle w:val="ConsPlusNormal"/>
        <w:ind w:firstLine="540"/>
        <w:jc w:val="both"/>
      </w:pPr>
      <w:r>
        <w:t>где: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>П</w:t>
      </w:r>
      <w:r>
        <w:rPr>
          <w:vertAlign w:val="subscript"/>
        </w:rPr>
        <w:t>ТП</w:t>
      </w:r>
      <w:r>
        <w:t xml:space="preserve"> - плата за технологическое присоединение;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>С</w:t>
      </w:r>
      <w:r>
        <w:rPr>
          <w:vertAlign w:val="subscript"/>
        </w:rPr>
        <w:t>1maxN</w:t>
      </w:r>
      <w:r>
        <w:t>, С</w:t>
      </w:r>
      <w:r>
        <w:rPr>
          <w:vertAlign w:val="subscript"/>
        </w:rPr>
        <w:t>2maxN</w:t>
      </w:r>
      <w:r>
        <w:t>, С</w:t>
      </w:r>
      <w:r>
        <w:rPr>
          <w:vertAlign w:val="subscript"/>
        </w:rPr>
        <w:t>3maxN</w:t>
      </w:r>
      <w:r>
        <w:t>, С</w:t>
      </w:r>
      <w:r>
        <w:rPr>
          <w:vertAlign w:val="subscript"/>
        </w:rPr>
        <w:t>4maxN</w:t>
      </w:r>
      <w:r>
        <w:t>, С</w:t>
      </w:r>
      <w:r>
        <w:rPr>
          <w:vertAlign w:val="subscript"/>
        </w:rPr>
        <w:t>5maxN</w:t>
      </w:r>
      <w:r>
        <w:t>, С</w:t>
      </w:r>
      <w:r>
        <w:rPr>
          <w:vertAlign w:val="subscript"/>
        </w:rPr>
        <w:t>6maxN</w:t>
      </w:r>
      <w:r>
        <w:t>, С</w:t>
      </w:r>
      <w:r>
        <w:rPr>
          <w:vertAlign w:val="subscript"/>
        </w:rPr>
        <w:t>7maxN</w:t>
      </w:r>
      <w:r>
        <w:t>, С</w:t>
      </w:r>
      <w:r>
        <w:rPr>
          <w:vertAlign w:val="subscript"/>
        </w:rPr>
        <w:t>8imaxN</w:t>
      </w:r>
      <w:r>
        <w:t xml:space="preserve"> - </w:t>
      </w:r>
      <w:hyperlink w:anchor="P666" w:history="1">
        <w:r>
          <w:rPr>
            <w:color w:val="0000FF"/>
          </w:rPr>
          <w:t>ставки</w:t>
        </w:r>
      </w:hyperlink>
      <w:r>
        <w:t xml:space="preserve"> за единицу максимальной мощности согласно приложению N 2 к настоящему приказу;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>N</w:t>
      </w:r>
      <w:r>
        <w:rPr>
          <w:vertAlign w:val="subscript"/>
        </w:rPr>
        <w:t>i</w:t>
      </w:r>
      <w:r>
        <w:t xml:space="preserve"> - объем максимальной мощности, указанной в заявке Заявителя (кВт).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>7. В случае если Заявитель при технологическом присоединении запрашивает вторую или первую категорию надежности электроснабжения (технологическое присоединение к двум независимым источникам энергоснабжения), то размер платы за технологическое присоединение (Р</w:t>
      </w:r>
      <w:r>
        <w:rPr>
          <w:vertAlign w:val="subscript"/>
        </w:rPr>
        <w:t>общ</w:t>
      </w:r>
      <w:r>
        <w:t>) определяется следующим образом:</w:t>
      </w:r>
    </w:p>
    <w:p w:rsidR="0079010A" w:rsidRDefault="0079010A">
      <w:pPr>
        <w:pStyle w:val="ConsPlusNormal"/>
        <w:jc w:val="both"/>
      </w:pPr>
    </w:p>
    <w:p w:rsidR="0079010A" w:rsidRDefault="0079010A">
      <w:pPr>
        <w:pStyle w:val="ConsPlusNormal"/>
        <w:ind w:firstLine="540"/>
        <w:jc w:val="both"/>
      </w:pPr>
      <w:r>
        <w:t>Р</w:t>
      </w:r>
      <w:r>
        <w:rPr>
          <w:vertAlign w:val="subscript"/>
        </w:rPr>
        <w:t>общ</w:t>
      </w:r>
      <w:r>
        <w:t xml:space="preserve"> = Р + (Р</w:t>
      </w:r>
      <w:r>
        <w:rPr>
          <w:vertAlign w:val="subscript"/>
        </w:rPr>
        <w:t>ист1</w:t>
      </w:r>
      <w:r>
        <w:t xml:space="preserve"> + Р</w:t>
      </w:r>
      <w:r>
        <w:rPr>
          <w:vertAlign w:val="subscript"/>
        </w:rPr>
        <w:t>ист2</w:t>
      </w:r>
      <w:r>
        <w:t>), (руб.) (7)</w:t>
      </w:r>
    </w:p>
    <w:p w:rsidR="0079010A" w:rsidRDefault="0079010A">
      <w:pPr>
        <w:pStyle w:val="ConsPlusNormal"/>
        <w:jc w:val="both"/>
      </w:pPr>
    </w:p>
    <w:p w:rsidR="0079010A" w:rsidRDefault="0079010A">
      <w:pPr>
        <w:pStyle w:val="ConsPlusNormal"/>
        <w:ind w:firstLine="540"/>
        <w:jc w:val="both"/>
      </w:pPr>
      <w:r>
        <w:t>где: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 xml:space="preserve">Р - расходы на технологическое присоединение, связанные с проведением мероприятий, указанных в </w:t>
      </w:r>
      <w:hyperlink r:id="rId28" w:history="1">
        <w:r>
          <w:rPr>
            <w:color w:val="0000FF"/>
          </w:rPr>
          <w:t>п. 16</w:t>
        </w:r>
      </w:hyperlink>
      <w:r>
        <w:t xml:space="preserve"> Методических указаний, за исключением указанных в </w:t>
      </w:r>
      <w:hyperlink r:id="rId29" w:history="1">
        <w:r>
          <w:rPr>
            <w:color w:val="0000FF"/>
          </w:rPr>
          <w:t>подпункте "б"</w:t>
        </w:r>
      </w:hyperlink>
      <w:r>
        <w:t xml:space="preserve"> (руб.);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ист1</w:t>
      </w:r>
      <w:r>
        <w:t xml:space="preserve"> - расходы на выполнение мероприятий, предусмотренных </w:t>
      </w:r>
      <w:hyperlink r:id="rId30" w:history="1">
        <w:r>
          <w:rPr>
            <w:color w:val="0000FF"/>
          </w:rPr>
          <w:t>подпунктом "б" пункта 16</w:t>
        </w:r>
      </w:hyperlink>
      <w:r>
        <w:t xml:space="preserve"> Методических указаний, осуществляемых для конкретного присоединения в зависимости от способа присоединения и уровня запрашиваемого напряжения на основании выданных сетевой организацией технических условий, определяемые по первому независимому источнику энергоснабжения в соответствии с </w:t>
      </w:r>
      <w:hyperlink w:anchor="P39" w:history="1">
        <w:r>
          <w:rPr>
            <w:color w:val="0000FF"/>
          </w:rPr>
          <w:t>приложением N 1</w:t>
        </w:r>
      </w:hyperlink>
      <w:r>
        <w:t xml:space="preserve"> или </w:t>
      </w:r>
      <w:hyperlink w:anchor="P666" w:history="1">
        <w:r>
          <w:rPr>
            <w:color w:val="0000FF"/>
          </w:rPr>
          <w:t>приложением N 2</w:t>
        </w:r>
      </w:hyperlink>
      <w:r>
        <w:t xml:space="preserve"> (руб.);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ист2</w:t>
      </w:r>
      <w:r>
        <w:t xml:space="preserve"> - расходы на выполнение мероприятий, предусмотренных </w:t>
      </w:r>
      <w:hyperlink r:id="rId31" w:history="1">
        <w:r>
          <w:rPr>
            <w:color w:val="0000FF"/>
          </w:rPr>
          <w:t>подпунктом "б" пункта 16</w:t>
        </w:r>
      </w:hyperlink>
      <w:r>
        <w:t xml:space="preserve"> Методических указаний, осуществляемых для конкретного присоединения в зависимости от способа присоединения и уровня запрашиваемого напряжения на основании выданных сетевой организацией технических условий, определяемые по второму независимому источнику энергоснабжения в соответствии с </w:t>
      </w:r>
      <w:hyperlink w:anchor="P39" w:history="1">
        <w:r>
          <w:rPr>
            <w:color w:val="0000FF"/>
          </w:rPr>
          <w:t>приложением N 1</w:t>
        </w:r>
      </w:hyperlink>
      <w:r>
        <w:t xml:space="preserve"> или </w:t>
      </w:r>
      <w:hyperlink w:anchor="P666" w:history="1">
        <w:r>
          <w:rPr>
            <w:color w:val="0000FF"/>
          </w:rPr>
          <w:t>приложением N 2</w:t>
        </w:r>
      </w:hyperlink>
      <w:r>
        <w:t xml:space="preserve"> (руб.).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>8. Плата за технологическое присоединение Заявителя в случае, если при технологическом присоединении согласно техническим условиям срок выполнения мероприятий по технологическому присоединению предусмотрен на период больше одного года, рассчитывается по формуле:</w:t>
      </w:r>
    </w:p>
    <w:p w:rsidR="0079010A" w:rsidRDefault="0079010A">
      <w:pPr>
        <w:pStyle w:val="ConsPlusNormal"/>
        <w:jc w:val="both"/>
      </w:pPr>
    </w:p>
    <w:p w:rsidR="0079010A" w:rsidRDefault="0079010A">
      <w:pPr>
        <w:pStyle w:val="ConsPlusNormal"/>
        <w:ind w:firstLine="540"/>
        <w:jc w:val="both"/>
      </w:pPr>
      <w:r>
        <w:t>П</w:t>
      </w:r>
      <w:r>
        <w:rPr>
          <w:vertAlign w:val="subscript"/>
        </w:rPr>
        <w:t>ТП</w:t>
      </w:r>
      <w:r>
        <w:t xml:space="preserve"> = С</w:t>
      </w:r>
      <w:r>
        <w:rPr>
          <w:vertAlign w:val="subscript"/>
        </w:rPr>
        <w:t>1</w:t>
      </w:r>
      <w:r>
        <w:t xml:space="preserve"> + С</w:t>
      </w:r>
      <w:r>
        <w:rPr>
          <w:vertAlign w:val="subscript"/>
        </w:rPr>
        <w:t>8i</w:t>
      </w:r>
      <w:r>
        <w:t xml:space="preserve"> * n + ((0,5 x (С</w:t>
      </w:r>
      <w:r>
        <w:rPr>
          <w:vertAlign w:val="subscript"/>
        </w:rPr>
        <w:t>2</w:t>
      </w:r>
      <w:r>
        <w:t xml:space="preserve"> x L</w:t>
      </w:r>
      <w:r>
        <w:rPr>
          <w:vertAlign w:val="subscript"/>
        </w:rPr>
        <w:t>i(вл)</w:t>
      </w:r>
      <w:r>
        <w:t xml:space="preserve"> + С</w:t>
      </w:r>
      <w:r>
        <w:rPr>
          <w:vertAlign w:val="subscript"/>
        </w:rPr>
        <w:t>3</w:t>
      </w:r>
      <w:r>
        <w:t xml:space="preserve"> x L</w:t>
      </w:r>
      <w:r>
        <w:rPr>
          <w:vertAlign w:val="subscript"/>
        </w:rPr>
        <w:t>i</w:t>
      </w:r>
      <w:r>
        <w:t xml:space="preserve"> + С</w:t>
      </w:r>
      <w:r>
        <w:rPr>
          <w:vertAlign w:val="subscript"/>
        </w:rPr>
        <w:t>4</w:t>
      </w:r>
      <w:r>
        <w:t xml:space="preserve"> x q</w:t>
      </w:r>
      <w:r>
        <w:rPr>
          <w:vertAlign w:val="subscript"/>
        </w:rPr>
        <w:t>i</w:t>
      </w:r>
      <w:r>
        <w:t xml:space="preserve"> + С</w:t>
      </w:r>
      <w:r>
        <w:rPr>
          <w:vertAlign w:val="subscript"/>
        </w:rPr>
        <w:t>5i и (или)</w:t>
      </w:r>
      <w:r>
        <w:t xml:space="preserve"> С</w:t>
      </w:r>
      <w:r>
        <w:rPr>
          <w:vertAlign w:val="subscript"/>
        </w:rPr>
        <w:t>6i</w:t>
      </w:r>
      <w:r>
        <w:t>; С</w:t>
      </w:r>
      <w:r>
        <w:rPr>
          <w:vertAlign w:val="subscript"/>
        </w:rPr>
        <w:t>7i</w:t>
      </w:r>
      <w:r>
        <w:t xml:space="preserve"> x N</w:t>
      </w:r>
      <w:r>
        <w:rPr>
          <w:vertAlign w:val="subscript"/>
        </w:rPr>
        <w:t>i</w:t>
      </w:r>
      <w:r>
        <w:t>) + ((0,5 x (С</w:t>
      </w:r>
      <w:r>
        <w:rPr>
          <w:vertAlign w:val="subscript"/>
        </w:rPr>
        <w:t>2</w:t>
      </w:r>
      <w:r>
        <w:t xml:space="preserve"> x L</w:t>
      </w:r>
      <w:r>
        <w:rPr>
          <w:vertAlign w:val="subscript"/>
        </w:rPr>
        <w:t>i(вл)</w:t>
      </w:r>
      <w:r>
        <w:t xml:space="preserve"> + С</w:t>
      </w:r>
      <w:r>
        <w:rPr>
          <w:vertAlign w:val="subscript"/>
        </w:rPr>
        <w:t>3</w:t>
      </w:r>
      <w:r>
        <w:t xml:space="preserve"> x L</w:t>
      </w:r>
      <w:r>
        <w:rPr>
          <w:vertAlign w:val="subscript"/>
        </w:rPr>
        <w:t>i</w:t>
      </w:r>
      <w:r>
        <w:t xml:space="preserve"> + С</w:t>
      </w:r>
      <w:r>
        <w:rPr>
          <w:vertAlign w:val="subscript"/>
        </w:rPr>
        <w:t>4</w:t>
      </w:r>
      <w:r>
        <w:t xml:space="preserve"> x q</w:t>
      </w:r>
      <w:r>
        <w:rPr>
          <w:vertAlign w:val="subscript"/>
        </w:rPr>
        <w:t>i</w:t>
      </w:r>
      <w:r>
        <w:t>+ С</w:t>
      </w:r>
      <w:r>
        <w:rPr>
          <w:vertAlign w:val="subscript"/>
        </w:rPr>
        <w:t>5i и (или)</w:t>
      </w:r>
      <w:r>
        <w:t xml:space="preserve"> С</w:t>
      </w:r>
      <w:r>
        <w:rPr>
          <w:vertAlign w:val="subscript"/>
        </w:rPr>
        <w:t>6i</w:t>
      </w:r>
      <w:r>
        <w:t>; С</w:t>
      </w:r>
      <w:r>
        <w:rPr>
          <w:vertAlign w:val="subscript"/>
        </w:rPr>
        <w:t>7i</w:t>
      </w:r>
      <w:r>
        <w:t xml:space="preserve"> x N</w:t>
      </w:r>
      <w:r>
        <w:rPr>
          <w:vertAlign w:val="subscript"/>
        </w:rPr>
        <w:t>i</w:t>
      </w:r>
      <w:r>
        <w:t>) x (ИЦП</w:t>
      </w:r>
      <w:r>
        <w:rPr>
          <w:vertAlign w:val="subscript"/>
        </w:rPr>
        <w:t>t+1</w:t>
      </w:r>
      <w:r>
        <w:t>), (руб.), (8)</w:t>
      </w:r>
    </w:p>
    <w:p w:rsidR="0079010A" w:rsidRDefault="0079010A">
      <w:pPr>
        <w:pStyle w:val="ConsPlusNormal"/>
        <w:jc w:val="both"/>
      </w:pPr>
    </w:p>
    <w:p w:rsidR="0079010A" w:rsidRDefault="0079010A">
      <w:pPr>
        <w:pStyle w:val="ConsPlusNormal"/>
        <w:ind w:firstLine="540"/>
        <w:jc w:val="both"/>
      </w:pPr>
      <w:r>
        <w:t>где: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lastRenderedPageBreak/>
        <w:t>П</w:t>
      </w:r>
      <w:r>
        <w:rPr>
          <w:vertAlign w:val="subscript"/>
        </w:rPr>
        <w:t>ТП</w:t>
      </w:r>
      <w:r>
        <w:t xml:space="preserve"> - плата за технологическое присоединение;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>t - год утверждения платы;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>q</w:t>
      </w:r>
      <w:r>
        <w:rPr>
          <w:vertAlign w:val="subscript"/>
        </w:rPr>
        <w:t>i</w:t>
      </w:r>
      <w:r>
        <w:t xml:space="preserve"> - количество пунктов секционирования (реклоузеров, распределительных пунктов, переключательных пунктов);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>N</w:t>
      </w:r>
      <w:r>
        <w:rPr>
          <w:vertAlign w:val="subscript"/>
        </w:rPr>
        <w:t>i</w:t>
      </w:r>
      <w:r>
        <w:t xml:space="preserve"> - объем максимальной мощности, указанной в заявке Заявителя (кВт);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>L</w:t>
      </w:r>
      <w:r>
        <w:rPr>
          <w:vertAlign w:val="subscript"/>
        </w:rPr>
        <w:t>i</w:t>
      </w:r>
      <w:r>
        <w:t xml:space="preserve"> - суммарная протяженность воздушных и (или) кабельных линий на i-том уровне напряжения, строительство которых предусмотрено согласно выданных технических условий для технологического присоединения (км);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>С</w:t>
      </w:r>
      <w:r>
        <w:rPr>
          <w:vertAlign w:val="subscript"/>
        </w:rPr>
        <w:t>1</w:t>
      </w:r>
      <w:r>
        <w:t>, С</w:t>
      </w:r>
      <w:r>
        <w:rPr>
          <w:vertAlign w:val="subscript"/>
        </w:rPr>
        <w:t>2</w:t>
      </w:r>
      <w:r>
        <w:t>, С</w:t>
      </w:r>
      <w:r>
        <w:rPr>
          <w:vertAlign w:val="subscript"/>
        </w:rPr>
        <w:t>3</w:t>
      </w:r>
      <w:r>
        <w:t>, С</w:t>
      </w:r>
      <w:r>
        <w:rPr>
          <w:vertAlign w:val="subscript"/>
        </w:rPr>
        <w:t>4</w:t>
      </w:r>
      <w:r>
        <w:t>, С</w:t>
      </w:r>
      <w:r>
        <w:rPr>
          <w:vertAlign w:val="subscript"/>
        </w:rPr>
        <w:t>5</w:t>
      </w:r>
      <w:r>
        <w:t>, С</w:t>
      </w:r>
      <w:r>
        <w:rPr>
          <w:vertAlign w:val="subscript"/>
        </w:rPr>
        <w:t>6</w:t>
      </w:r>
      <w:r>
        <w:t>, С</w:t>
      </w:r>
      <w:r>
        <w:rPr>
          <w:vertAlign w:val="subscript"/>
        </w:rPr>
        <w:t>7</w:t>
      </w:r>
      <w:r>
        <w:t>, С</w:t>
      </w:r>
      <w:r>
        <w:rPr>
          <w:vertAlign w:val="subscript"/>
        </w:rPr>
        <w:t>8i</w:t>
      </w:r>
      <w:r>
        <w:t xml:space="preserve"> - стандартизированные тарифные </w:t>
      </w:r>
      <w:hyperlink w:anchor="P39" w:history="1">
        <w:r>
          <w:rPr>
            <w:color w:val="0000FF"/>
          </w:rPr>
          <w:t>ставки</w:t>
        </w:r>
      </w:hyperlink>
      <w:r>
        <w:t xml:space="preserve"> согласно приложению N 1 к настоящему приказу;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>n - количество точек учета;</w:t>
      </w:r>
    </w:p>
    <w:p w:rsidR="0079010A" w:rsidRDefault="0079010A">
      <w:pPr>
        <w:pStyle w:val="ConsPlusNormal"/>
        <w:spacing w:before="220"/>
        <w:ind w:firstLine="540"/>
        <w:jc w:val="both"/>
      </w:pPr>
      <w:r>
        <w:t>ИЦП - индекс цен производителей по подразделу "Строительство" раздела "Капитальные вложения (инвестиции)", публикуемых Министерством экономического развития Российской Федерации.</w:t>
      </w:r>
    </w:p>
    <w:p w:rsidR="0079010A" w:rsidRDefault="0079010A">
      <w:pPr>
        <w:pStyle w:val="ConsPlusNormal"/>
        <w:jc w:val="both"/>
      </w:pPr>
    </w:p>
    <w:p w:rsidR="0079010A" w:rsidRDefault="0079010A">
      <w:pPr>
        <w:pStyle w:val="ConsPlusNormal"/>
        <w:jc w:val="both"/>
      </w:pPr>
    </w:p>
    <w:p w:rsidR="0079010A" w:rsidRDefault="0079010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79010A">
      <w:bookmarkStart w:id="3" w:name="_GoBack"/>
      <w:bookmarkEnd w:id="3"/>
    </w:p>
    <w:sectPr w:rsidR="003A295A" w:rsidSect="002D5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10A"/>
    <w:rsid w:val="0079010A"/>
    <w:rsid w:val="008143E2"/>
    <w:rsid w:val="00D7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01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9010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901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9010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901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79010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9010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9010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01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9010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901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9010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901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79010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9010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9010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FED91E49050BBB4D5DBB794E6024E5965E8735A0A33FA1EEE6555043C359A3136C8BBA77DBD009B89BFAE14E8AD0350D0F822F3639F5B817F80E2Ew9y9K" TargetMode="External"/><Relationship Id="rId13" Type="http://schemas.openxmlformats.org/officeDocument/2006/relationships/hyperlink" Target="consultantplus://offline/ref=36FED91E49050BBB4D5DBB794E6024E5965E8735A0A332ABE4E3555043C359A3136C8BBA77DBD009B89BFAE3498AD0350D0F822F3639F5B817F80E2Ew9y9K" TargetMode="External"/><Relationship Id="rId18" Type="http://schemas.openxmlformats.org/officeDocument/2006/relationships/image" Target="media/image5.wmf"/><Relationship Id="rId26" Type="http://schemas.openxmlformats.org/officeDocument/2006/relationships/hyperlink" Target="consultantplus://offline/ref=A9E736126B516C4385FA80809D07A90D8192F3E699B6F37AADF72070765BD17BCC7C2290107875AC6E35C0ABD414B14CAD7F1E490489D9E6F0CB2EEDx4yE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9E736126B516C4385FA80809D07A90D8192F3E699B6FC74A7F52070765BD17BCC7C2290107875AC6E35C0ABD714B14CAD7F1E490489D9E6F0CB2EEDx4yEK" TargetMode="External"/><Relationship Id="rId7" Type="http://schemas.openxmlformats.org/officeDocument/2006/relationships/hyperlink" Target="consultantplus://offline/ref=36FED91E49050BBB4D5DBB794E6024E5965E8735A0A330A0E2E5555043C359A3136C8BBA77DBD009B89BFAE14E8AD0350D0F822F3639F5B817F80E2Ew9y9K" TargetMode="External"/><Relationship Id="rId12" Type="http://schemas.openxmlformats.org/officeDocument/2006/relationships/hyperlink" Target="consultantplus://offline/ref=36FED91E49050BBB4D5DA574580C7AEA9450D13DA6A13CFFBBB453071C935FF6532C8DEF349FDD09BD90AEB00FD4896549448F262825F5B2w0y8K" TargetMode="External"/><Relationship Id="rId17" Type="http://schemas.openxmlformats.org/officeDocument/2006/relationships/image" Target="media/image4.wmf"/><Relationship Id="rId25" Type="http://schemas.openxmlformats.org/officeDocument/2006/relationships/hyperlink" Target="consultantplus://offline/ref=A9E736126B516C4385FA80809D07A90D8192F3E699B6FC7BA1F42070765BD17BCC7C2290107875AC6E35C0ABDA14B14CAD7F1E490489D9E6F0CB2EEDx4yEK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3.wmf"/><Relationship Id="rId20" Type="http://schemas.openxmlformats.org/officeDocument/2006/relationships/hyperlink" Target="consultantplus://offline/ref=A9E736126B516C4385FA80809D07A90D8192F3E699B7FE7AA7F02070765BD17BCC7C229002782DA06F35DEABDA01E71DEBx2yBK" TargetMode="External"/><Relationship Id="rId29" Type="http://schemas.openxmlformats.org/officeDocument/2006/relationships/hyperlink" Target="consultantplus://offline/ref=A9E736126B516C4385FA9E8D8B6BF702839CA5EE9FB4F024F8A52627290BD72E8C3C24C5533C78AA6B3E94FA964AE81CE93413401A95D9ECxEyF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6FED91E49050BBB4D5DBB794E6024E5965E8735A0A330AFE4E4555043C359A3136C8BBA77DBD009B89BFAE14E8AD0350D0F822F3639F5B817F80E2Ew9y9K" TargetMode="External"/><Relationship Id="rId11" Type="http://schemas.openxmlformats.org/officeDocument/2006/relationships/hyperlink" Target="consultantplus://offline/ref=36FED91E49050BBB4D5DA574580C7AEA9452DB39A0A53CFFBBB453071C935FF6532C8DEF349FDA0FBE90AEB00FD4896549448F262825F5B2w0y8K" TargetMode="External"/><Relationship Id="rId24" Type="http://schemas.openxmlformats.org/officeDocument/2006/relationships/hyperlink" Target="consultantplus://offline/ref=A9E736126B516C4385FA80809D07A90D8192F3E699B6FC7BA1F42070765BD17BCC7C2290107875AC6E35C0ABD414B14CAD7F1E490489D9E6F0CB2EEDx4yEK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www.consultant.ru" TargetMode="External"/><Relationship Id="rId15" Type="http://schemas.openxmlformats.org/officeDocument/2006/relationships/image" Target="media/image2.wmf"/><Relationship Id="rId23" Type="http://schemas.openxmlformats.org/officeDocument/2006/relationships/hyperlink" Target="consultantplus://offline/ref=A9E736126B516C4385FA80809D07A90D8192F3E699B6F37AADF72070765BD17BCC7C2290107875AC6E35C0ABD714B14CAD7F1E490489D9E6F0CB2EEDx4yEK" TargetMode="External"/><Relationship Id="rId28" Type="http://schemas.openxmlformats.org/officeDocument/2006/relationships/hyperlink" Target="consultantplus://offline/ref=A9E736126B516C4385FA9E8D8B6BF702839CA5EE9FB4F024F8A52627290BD72E8C3C24C5533C78AA6D3E94FA964AE81CE93413401A95D9ECxEyFK" TargetMode="External"/><Relationship Id="rId10" Type="http://schemas.openxmlformats.org/officeDocument/2006/relationships/hyperlink" Target="consultantplus://offline/ref=36FED91E49050BBB4D5DA574580C7AEA9452DA3AA7A73CFFBBB453071C935FF6412CD5E3359FC308B085F8E149w8y0K" TargetMode="External"/><Relationship Id="rId19" Type="http://schemas.openxmlformats.org/officeDocument/2006/relationships/image" Target="media/image6.wmf"/><Relationship Id="rId31" Type="http://schemas.openxmlformats.org/officeDocument/2006/relationships/hyperlink" Target="consultantplus://offline/ref=A9E736126B516C4385FA9E8D8B6BF702839CA5EE9FB4F024F8A52627290BD72E8C3C24C5533C78AA6B3E94FA964AE81CE93413401A95D9ECxEyF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6FED91E49050BBB4D5DA574580C7AEA9452DA3AA0A53CFFBBB453071C935FF6412CD5E3359FC308B085F8E149w8y0K" TargetMode="External"/><Relationship Id="rId14" Type="http://schemas.openxmlformats.org/officeDocument/2006/relationships/image" Target="media/image1.wmf"/><Relationship Id="rId22" Type="http://schemas.openxmlformats.org/officeDocument/2006/relationships/hyperlink" Target="consultantplus://offline/ref=A9E736126B516C4385FA80809D07A90D8192F3E699B6FC7BA1F42070765BD17BCC7C2290107875AC6E35C0ABD714B14CAD7F1E490489D9E6F0CB2EEDx4yEK" TargetMode="External"/><Relationship Id="rId27" Type="http://schemas.openxmlformats.org/officeDocument/2006/relationships/hyperlink" Target="consultantplus://offline/ref=A9E736126B516C4385FA80809D07A90D8192F3E699B6FC74A7F52070765BD17BCC7C2290107875AC6E35C0ABD714B14CAD7F1E490489D9E6F0CB2EEDx4yEK" TargetMode="External"/><Relationship Id="rId30" Type="http://schemas.openxmlformats.org/officeDocument/2006/relationships/hyperlink" Target="consultantplus://offline/ref=A9E736126B516C4385FA9E8D8B6BF702839CA5EE9FB4F024F8A52627290BD72E8C3C24C5533C78AA6B3E94FA964AE81CE93413401A95D9ECxEyF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6802</Words>
  <Characters>38773</Characters>
  <Application>Microsoft Office Word</Application>
  <DocSecurity>0</DocSecurity>
  <Lines>323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2021-08-10T10:50:00Z</dcterms:created>
  <dcterms:modified xsi:type="dcterms:W3CDTF">2021-08-10T10:50:00Z</dcterms:modified>
</cp:coreProperties>
</file>