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CC" w:rsidRDefault="00AE31C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E31CC" w:rsidRDefault="00AE31CC">
      <w:pPr>
        <w:pStyle w:val="ConsPlusNormal"/>
        <w:jc w:val="both"/>
        <w:outlineLvl w:val="0"/>
      </w:pPr>
    </w:p>
    <w:p w:rsidR="00AE31CC" w:rsidRDefault="00AE31CC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E31CC" w:rsidRDefault="00AE31CC">
      <w:pPr>
        <w:pStyle w:val="ConsPlusTitle"/>
        <w:jc w:val="center"/>
      </w:pPr>
      <w:r>
        <w:t>ПЕНЗЕНСКОЙ ОБЛАСТИ</w:t>
      </w:r>
    </w:p>
    <w:p w:rsidR="00AE31CC" w:rsidRDefault="00AE31CC">
      <w:pPr>
        <w:pStyle w:val="ConsPlusTitle"/>
        <w:jc w:val="both"/>
      </w:pPr>
    </w:p>
    <w:p w:rsidR="00AE31CC" w:rsidRDefault="00AE31CC">
      <w:pPr>
        <w:pStyle w:val="ConsPlusTitle"/>
        <w:jc w:val="center"/>
      </w:pPr>
      <w:r>
        <w:t>ПРИКАЗ</w:t>
      </w:r>
    </w:p>
    <w:p w:rsidR="00AE31CC" w:rsidRDefault="00AE31CC">
      <w:pPr>
        <w:pStyle w:val="ConsPlusTitle"/>
        <w:jc w:val="center"/>
      </w:pPr>
      <w:r>
        <w:t>от 30 декабря 2020 г. N 218</w:t>
      </w:r>
    </w:p>
    <w:p w:rsidR="00AE31CC" w:rsidRDefault="00AE31CC">
      <w:pPr>
        <w:pStyle w:val="ConsPlusTitle"/>
        <w:jc w:val="both"/>
      </w:pPr>
    </w:p>
    <w:p w:rsidR="00AE31CC" w:rsidRDefault="00AE31CC">
      <w:pPr>
        <w:pStyle w:val="ConsPlusTitle"/>
        <w:jc w:val="center"/>
      </w:pPr>
      <w:r>
        <w:t>ОБ УСТАНОВЛЕНИИ СБЫТОВЫХ НАДБАВОК ГАРАНТИРУЮЩЕГО ПОСТАВЩИКА</w:t>
      </w:r>
    </w:p>
    <w:p w:rsidR="00AE31CC" w:rsidRDefault="00AE31CC">
      <w:pPr>
        <w:pStyle w:val="ConsPlusTitle"/>
        <w:jc w:val="center"/>
      </w:pPr>
      <w:r>
        <w:t>ЭЛЕКТРИЧЕСКОЙ ЭНЕРГ</w:t>
      </w:r>
      <w:proofErr w:type="gramStart"/>
      <w:r>
        <w:t>ИИ ООО</w:t>
      </w:r>
      <w:proofErr w:type="gramEnd"/>
      <w:r>
        <w:t xml:space="preserve"> "ТНС ЭНЕРГО ПЕНЗА" НА 2021 ГОД</w:t>
      </w: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26.03.2003 N 35-ФЗ "Об электроэнергетике"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29.12.2011 N 1178 "О ценообразовании в области регулируемых цен (тарифов) в электроэнергетике" (с последующими изменениями), приказами Федеральной антимонопольной службы России от 21.11.2017 </w:t>
      </w:r>
      <w:hyperlink r:id="rId8" w:history="1">
        <w:r>
          <w:rPr>
            <w:color w:val="0000FF"/>
          </w:rPr>
          <w:t>N 1554/17</w:t>
        </w:r>
      </w:hyperlink>
      <w:r>
        <w:t xml:space="preserve"> "Об утверждении методических указаний по расчету сбытовых надбавок гарантирующих поставщиков с использованием метода сравнения аналогов" (с</w:t>
      </w:r>
      <w:proofErr w:type="gramEnd"/>
      <w:r>
        <w:t xml:space="preserve"> </w:t>
      </w:r>
      <w:proofErr w:type="gramStart"/>
      <w:r>
        <w:t xml:space="preserve">последующими изменениями), от 19.06.2018 </w:t>
      </w:r>
      <w:hyperlink r:id="rId9" w:history="1">
        <w:r>
          <w:rPr>
            <w:color w:val="0000FF"/>
          </w:rPr>
          <w:t>N 834/18</w:t>
        </w:r>
      </w:hyperlink>
      <w:r>
        <w:t xml:space="preserve"> "Об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тарифов" (с последующими изменениями),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</w:t>
      </w:r>
      <w:proofErr w:type="gramEnd"/>
      <w:r>
        <w:t xml:space="preserve">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30.12.2020 N 121 приказываю:</w:t>
      </w:r>
    </w:p>
    <w:p w:rsidR="00AE31CC" w:rsidRDefault="00AE31CC">
      <w:pPr>
        <w:pStyle w:val="ConsPlusNormal"/>
        <w:spacing w:before="220"/>
        <w:ind w:firstLine="540"/>
        <w:jc w:val="both"/>
      </w:pPr>
      <w:r>
        <w:t xml:space="preserve">1. Установить с 1 января 2021 года по 31 декабря 2021 года сбытовые </w:t>
      </w:r>
      <w:hyperlink w:anchor="P30" w:history="1">
        <w:r>
          <w:rPr>
            <w:color w:val="0000FF"/>
          </w:rPr>
          <w:t>надбавки</w:t>
        </w:r>
      </w:hyperlink>
      <w:r>
        <w:t xml:space="preserve"> гарантирующего поставщика электрической энерг</w:t>
      </w:r>
      <w:proofErr w:type="gramStart"/>
      <w:r>
        <w:t>ии ООО</w:t>
      </w:r>
      <w:proofErr w:type="gramEnd"/>
      <w:r>
        <w:t xml:space="preserve"> "ТНС энерго Пенза" согласно приложению к настоящему приказу.</w:t>
      </w:r>
    </w:p>
    <w:p w:rsidR="00AE31CC" w:rsidRDefault="00AE31CC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30.12.2019 N 235 "Об установлении сбытовых надбавок гарантирующего поставщика электрической энерг</w:t>
      </w:r>
      <w:proofErr w:type="gramStart"/>
      <w:r>
        <w:t>ии ООО</w:t>
      </w:r>
      <w:proofErr w:type="gramEnd"/>
      <w:r>
        <w:t xml:space="preserve"> "ТНС энерго Пенза" на 2020 год".</w:t>
      </w:r>
    </w:p>
    <w:p w:rsidR="00AE31CC" w:rsidRDefault="00AE31CC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E31CC" w:rsidRDefault="00AE31CC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right"/>
      </w:pPr>
      <w:r>
        <w:t>Начальник Управления</w:t>
      </w:r>
    </w:p>
    <w:p w:rsidR="00AE31CC" w:rsidRDefault="00AE31CC">
      <w:pPr>
        <w:pStyle w:val="ConsPlusNormal"/>
        <w:jc w:val="right"/>
      </w:pPr>
      <w:r>
        <w:t>Н.В.КЛАК</w:t>
      </w: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right"/>
        <w:outlineLvl w:val="0"/>
      </w:pPr>
      <w:r>
        <w:t>Приложение</w:t>
      </w:r>
    </w:p>
    <w:p w:rsidR="00AE31CC" w:rsidRDefault="00AE31CC">
      <w:pPr>
        <w:pStyle w:val="ConsPlusNormal"/>
        <w:jc w:val="right"/>
      </w:pPr>
      <w:r>
        <w:t>к приказу</w:t>
      </w:r>
    </w:p>
    <w:p w:rsidR="00AE31CC" w:rsidRDefault="00AE31CC">
      <w:pPr>
        <w:pStyle w:val="ConsPlusNormal"/>
        <w:jc w:val="right"/>
      </w:pPr>
      <w:r>
        <w:t>Управления по регулированию</w:t>
      </w:r>
    </w:p>
    <w:p w:rsidR="00AE31CC" w:rsidRDefault="00AE31CC">
      <w:pPr>
        <w:pStyle w:val="ConsPlusNormal"/>
        <w:jc w:val="right"/>
      </w:pPr>
      <w:r>
        <w:t>тарифов и энергосбережению</w:t>
      </w:r>
    </w:p>
    <w:p w:rsidR="00AE31CC" w:rsidRDefault="00AE31CC">
      <w:pPr>
        <w:pStyle w:val="ConsPlusNormal"/>
        <w:jc w:val="right"/>
      </w:pPr>
      <w:r>
        <w:lastRenderedPageBreak/>
        <w:t>Пензенской области</w:t>
      </w:r>
    </w:p>
    <w:p w:rsidR="00AE31CC" w:rsidRDefault="00AE31CC">
      <w:pPr>
        <w:pStyle w:val="ConsPlusNormal"/>
        <w:jc w:val="right"/>
      </w:pPr>
      <w:r>
        <w:t>от 30 декабря 2020 г. N 218</w:t>
      </w: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Title"/>
        <w:jc w:val="center"/>
      </w:pPr>
      <w:bookmarkStart w:id="0" w:name="P30"/>
      <w:bookmarkEnd w:id="0"/>
      <w:r>
        <w:t>СБЫТОВЫЕ НАДБАВКИ</w:t>
      </w:r>
    </w:p>
    <w:p w:rsidR="00AE31CC" w:rsidRDefault="00AE31CC">
      <w:pPr>
        <w:pStyle w:val="ConsPlusTitle"/>
        <w:jc w:val="center"/>
      </w:pPr>
      <w:r>
        <w:t>ГАРАНТИРУЮЩЕГО ПОСТАВЩИКА ЭЛЕКТРИЧЕСКОЙ ЭНЕРГ</w:t>
      </w:r>
      <w:proofErr w:type="gramStart"/>
      <w:r>
        <w:t>ИИ ООО</w:t>
      </w:r>
      <w:proofErr w:type="gramEnd"/>
      <w:r>
        <w:t xml:space="preserve"> "ТНС</w:t>
      </w:r>
    </w:p>
    <w:p w:rsidR="00AE31CC" w:rsidRDefault="00AE31CC">
      <w:pPr>
        <w:pStyle w:val="ConsPlusTitle"/>
        <w:jc w:val="center"/>
      </w:pPr>
      <w:r>
        <w:t xml:space="preserve">ЭНЕРГО ПЕНЗА", </w:t>
      </w:r>
      <w:proofErr w:type="gramStart"/>
      <w:r>
        <w:t>ПОСТАВЛЯЮЩЕГО</w:t>
      </w:r>
      <w:proofErr w:type="gramEnd"/>
      <w:r>
        <w:t xml:space="preserve"> ЭЛЕКТРИЧЕСКУЮ ЭНЕРГИЮ</w:t>
      </w:r>
    </w:p>
    <w:p w:rsidR="00AE31CC" w:rsidRDefault="00AE31CC">
      <w:pPr>
        <w:pStyle w:val="ConsPlusTitle"/>
        <w:jc w:val="center"/>
      </w:pPr>
      <w:r>
        <w:t>(МОЩНОСТЬ) НА РОЗНИЧНОМ РЫНКЕ (ТАРИФЫ УКАЗЫВАЮТСЯ БЕЗ НДС)</w:t>
      </w: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right"/>
      </w:pPr>
      <w:r>
        <w:t>руб./кВт*</w:t>
      </w:r>
      <w:proofErr w:type="gramStart"/>
      <w:r>
        <w:t>ч</w:t>
      </w:r>
      <w:proofErr w:type="gramEnd"/>
    </w:p>
    <w:p w:rsidR="00AE31CC" w:rsidRDefault="00AE31CC">
      <w:pPr>
        <w:sectPr w:rsidR="00AE31CC" w:rsidSect="00B732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"/>
        <w:gridCol w:w="1909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197"/>
        <w:gridCol w:w="1197"/>
      </w:tblGrid>
      <w:tr w:rsidR="00AE31CC">
        <w:tc>
          <w:tcPr>
            <w:tcW w:w="535" w:type="dxa"/>
            <w:vMerge w:val="restart"/>
          </w:tcPr>
          <w:p w:rsidR="00AE31CC" w:rsidRDefault="00AE31C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09" w:type="dxa"/>
            <w:vMerge w:val="restart"/>
          </w:tcPr>
          <w:p w:rsidR="00AE31CC" w:rsidRDefault="00AE31CC">
            <w:pPr>
              <w:pStyle w:val="ConsPlusNormal"/>
              <w:jc w:val="center"/>
            </w:pPr>
            <w:r>
              <w:t>Наименование гарантирующего поставщика в Пензенской области</w:t>
            </w:r>
          </w:p>
        </w:tc>
        <w:tc>
          <w:tcPr>
            <w:tcW w:w="12482" w:type="dxa"/>
            <w:gridSpan w:val="10"/>
          </w:tcPr>
          <w:p w:rsidR="00AE31CC" w:rsidRDefault="00AE31CC">
            <w:pPr>
              <w:pStyle w:val="ConsPlusNormal"/>
              <w:jc w:val="center"/>
            </w:pPr>
            <w:r>
              <w:t>Сбытовая надбавка</w:t>
            </w:r>
          </w:p>
        </w:tc>
      </w:tr>
      <w:tr w:rsidR="00AE31CC">
        <w:tc>
          <w:tcPr>
            <w:tcW w:w="535" w:type="dxa"/>
            <w:vMerge/>
          </w:tcPr>
          <w:p w:rsidR="00AE31CC" w:rsidRDefault="00AE31CC"/>
        </w:tc>
        <w:tc>
          <w:tcPr>
            <w:tcW w:w="1909" w:type="dxa"/>
            <w:vMerge/>
          </w:tcPr>
          <w:p w:rsidR="00AE31CC" w:rsidRDefault="00AE31CC"/>
        </w:tc>
        <w:tc>
          <w:tcPr>
            <w:tcW w:w="2522" w:type="dxa"/>
            <w:gridSpan w:val="2"/>
          </w:tcPr>
          <w:p w:rsidR="00AE31CC" w:rsidRDefault="00AE31CC">
            <w:pPr>
              <w:pStyle w:val="ConsPlusNormal"/>
              <w:jc w:val="center"/>
            </w:pPr>
            <w:r>
              <w:t>тарифная группа потребителей "население" и приравненные к нему категории потребителей</w:t>
            </w:r>
          </w:p>
        </w:tc>
        <w:tc>
          <w:tcPr>
            <w:tcW w:w="2522" w:type="dxa"/>
            <w:gridSpan w:val="2"/>
          </w:tcPr>
          <w:p w:rsidR="00AE31CC" w:rsidRDefault="00AE31CC">
            <w:pPr>
              <w:pStyle w:val="ConsPlusNormal"/>
              <w:jc w:val="center"/>
            </w:pPr>
            <w:r>
              <w:t>тарифная группа потребителей "сетевые организации, покупающие электрическую энергию для компенсации потерь"</w:t>
            </w:r>
          </w:p>
        </w:tc>
        <w:tc>
          <w:tcPr>
            <w:tcW w:w="2522" w:type="dxa"/>
            <w:gridSpan w:val="2"/>
          </w:tcPr>
          <w:p w:rsidR="00AE31CC" w:rsidRDefault="00AE31CC">
            <w:pPr>
              <w:pStyle w:val="ConsPlusNormal"/>
              <w:jc w:val="center"/>
            </w:pPr>
            <w:r>
              <w:t>прочие потребители по подгруппе в зависимости от величины максимальной мощности принадлежащих им энергопринимающих устройств менее 670 кВт</w:t>
            </w:r>
          </w:p>
        </w:tc>
        <w:tc>
          <w:tcPr>
            <w:tcW w:w="2522" w:type="dxa"/>
            <w:gridSpan w:val="2"/>
          </w:tcPr>
          <w:p w:rsidR="00AE31CC" w:rsidRDefault="00AE31CC">
            <w:pPr>
              <w:pStyle w:val="ConsPlusNormal"/>
              <w:jc w:val="center"/>
            </w:pPr>
            <w:r>
              <w:t>прочие потребители по подгруппе в зависимости от величины максимальной мощности принадлежащих им энергопринимающих устройств от 670 кВт до 10 МВт</w:t>
            </w:r>
          </w:p>
        </w:tc>
        <w:tc>
          <w:tcPr>
            <w:tcW w:w="2394" w:type="dxa"/>
            <w:gridSpan w:val="2"/>
          </w:tcPr>
          <w:p w:rsidR="00AE31CC" w:rsidRDefault="00AE31CC">
            <w:pPr>
              <w:pStyle w:val="ConsPlusNormal"/>
              <w:jc w:val="center"/>
            </w:pPr>
            <w:r>
              <w:t>прочие потребители по подгруппе в зависимости от величины максимальной мощности принадлежащих им энергопринимающих устройств не менее 10 МВт</w:t>
            </w:r>
          </w:p>
        </w:tc>
      </w:tr>
      <w:tr w:rsidR="00AE31CC">
        <w:tc>
          <w:tcPr>
            <w:tcW w:w="535" w:type="dxa"/>
            <w:vMerge/>
          </w:tcPr>
          <w:p w:rsidR="00AE31CC" w:rsidRDefault="00AE31CC"/>
        </w:tc>
        <w:tc>
          <w:tcPr>
            <w:tcW w:w="1909" w:type="dxa"/>
            <w:vMerge/>
          </w:tcPr>
          <w:p w:rsidR="00AE31CC" w:rsidRDefault="00AE31CC"/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II полугодие</w:t>
            </w:r>
          </w:p>
        </w:tc>
        <w:tc>
          <w:tcPr>
            <w:tcW w:w="1197" w:type="dxa"/>
          </w:tcPr>
          <w:p w:rsidR="00AE31CC" w:rsidRDefault="00AE31CC">
            <w:pPr>
              <w:pStyle w:val="ConsPlusNormal"/>
              <w:jc w:val="center"/>
            </w:pPr>
            <w:r>
              <w:t>I полугодие</w:t>
            </w:r>
          </w:p>
        </w:tc>
        <w:tc>
          <w:tcPr>
            <w:tcW w:w="1197" w:type="dxa"/>
          </w:tcPr>
          <w:p w:rsidR="00AE31CC" w:rsidRDefault="00AE31CC">
            <w:pPr>
              <w:pStyle w:val="ConsPlusNormal"/>
              <w:jc w:val="center"/>
            </w:pPr>
            <w:r>
              <w:t>II полугодие</w:t>
            </w:r>
          </w:p>
        </w:tc>
      </w:tr>
      <w:tr w:rsidR="00AE31CC">
        <w:tc>
          <w:tcPr>
            <w:tcW w:w="535" w:type="dxa"/>
          </w:tcPr>
          <w:p w:rsidR="00AE31CC" w:rsidRDefault="00AE31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9" w:type="dxa"/>
          </w:tcPr>
          <w:p w:rsidR="00AE31CC" w:rsidRDefault="00AE31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1" w:type="dxa"/>
          </w:tcPr>
          <w:p w:rsidR="00AE31CC" w:rsidRDefault="00AE31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7" w:type="dxa"/>
          </w:tcPr>
          <w:p w:rsidR="00AE31CC" w:rsidRDefault="00AE31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7" w:type="dxa"/>
          </w:tcPr>
          <w:p w:rsidR="00AE31CC" w:rsidRDefault="00AE31CC">
            <w:pPr>
              <w:pStyle w:val="ConsPlusNormal"/>
              <w:jc w:val="center"/>
            </w:pPr>
            <w:r>
              <w:t>12</w:t>
            </w:r>
          </w:p>
        </w:tc>
      </w:tr>
      <w:tr w:rsidR="00AE31CC">
        <w:tc>
          <w:tcPr>
            <w:tcW w:w="535" w:type="dxa"/>
          </w:tcPr>
          <w:p w:rsidR="00AE31CC" w:rsidRDefault="00AE31C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09" w:type="dxa"/>
          </w:tcPr>
          <w:p w:rsidR="00AE31CC" w:rsidRDefault="00AE31CC">
            <w:pPr>
              <w:pStyle w:val="ConsPlusNormal"/>
              <w:jc w:val="center"/>
            </w:pPr>
            <w:r>
              <w:t>ООО "ТНС энерго Пенза"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0,19130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0,19782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0,57144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0,62423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0,67790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0,91336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0,44053</w:t>
            </w:r>
          </w:p>
        </w:tc>
        <w:tc>
          <w:tcPr>
            <w:tcW w:w="1261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0,59354</w:t>
            </w:r>
          </w:p>
        </w:tc>
        <w:tc>
          <w:tcPr>
            <w:tcW w:w="1197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0,25822</w:t>
            </w:r>
          </w:p>
        </w:tc>
        <w:tc>
          <w:tcPr>
            <w:tcW w:w="1197" w:type="dxa"/>
            <w:vAlign w:val="center"/>
          </w:tcPr>
          <w:p w:rsidR="00AE31CC" w:rsidRDefault="00AE31CC">
            <w:pPr>
              <w:pStyle w:val="ConsPlusNormal"/>
              <w:jc w:val="center"/>
            </w:pPr>
            <w:r>
              <w:t>0,34791</w:t>
            </w:r>
          </w:p>
        </w:tc>
      </w:tr>
    </w:tbl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jc w:val="both"/>
      </w:pPr>
    </w:p>
    <w:p w:rsidR="00AE31CC" w:rsidRDefault="00AE31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E31CC">
      <w:bookmarkStart w:id="1" w:name="_GoBack"/>
      <w:bookmarkEnd w:id="1"/>
    </w:p>
    <w:sectPr w:rsidR="003A295A" w:rsidSect="00C90ED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CC"/>
    <w:rsid w:val="008143E2"/>
    <w:rsid w:val="00AE31CC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1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31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31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1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31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31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F224DB4D8FB7730FB08C5A8E8982F838195B50EB3C7382073511972D147CE1C0C1B351883ED55755F1818E62R8wC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F224DB4D8FB7730FB08C5A8E8982F838175957EA367382073511972D147CE1D2C1EB5D893FCF5254E4D7DF24D856FBD9D82D8328107734R7wE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F224DB4D8FB7730FB08C5A8E8982F838165F55EA3F7382073511972D147CE1C0C1B351883ED55755F1818E62R8wCK" TargetMode="External"/><Relationship Id="rId11" Type="http://schemas.openxmlformats.org/officeDocument/2006/relationships/hyperlink" Target="consultantplus://offline/ref=D5F224DB4D8FB7730FB0925798E5DCF73A15065EE23B7DD65C6217C072447AB49281ED08D87A9E5A5CEF9D8E689359FADBRCw7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D5F224DB4D8FB7730FB0925798E5DCF73A15065EE23A7FD0526817C072447AB49281ED08CA7AC6565DEF878E68860FAB9D93208A360C773E61EC629BRBw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F224DB4D8FB7730FB08C5A8E8982F8381B5A53E23D7382073511972D147CE1C0C1B351883ED55755F1818E62R8w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2021-08-10T10:48:00Z</dcterms:created>
  <dcterms:modified xsi:type="dcterms:W3CDTF">2021-08-10T10:48:00Z</dcterms:modified>
</cp:coreProperties>
</file>